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81" w:leftChars="209" w:hanging="442" w:hangingChars="100"/>
        <w:rPr>
          <w:rFonts w:hint="eastAsia" w:ascii="黑体" w:hAnsi="黑体" w:eastAsia="黑体" w:cs="黑体"/>
          <w:b/>
          <w:bCs/>
          <w:color w:val="333333"/>
          <w:kern w:val="36"/>
          <w:sz w:val="44"/>
          <w:szCs w:val="44"/>
        </w:rPr>
      </w:pPr>
      <w:bookmarkStart w:id="0" w:name="_GoBack"/>
      <w:bookmarkEnd w:id="0"/>
      <w:r>
        <w:rPr>
          <w:rFonts w:hint="eastAsia" w:ascii="黑体" w:hAnsi="黑体" w:eastAsia="黑体" w:cs="黑体"/>
          <w:b/>
          <w:bCs/>
          <w:color w:val="333333"/>
          <w:kern w:val="36"/>
          <w:sz w:val="44"/>
          <w:szCs w:val="44"/>
          <w:lang w:eastAsia="zh-CN"/>
        </w:rPr>
        <w:t>中共漯河市委党校</w:t>
      </w:r>
      <w:r>
        <w:rPr>
          <w:rFonts w:hint="eastAsia" w:ascii="黑体" w:hAnsi="黑体" w:eastAsia="黑体" w:cs="黑体"/>
          <w:b/>
          <w:bCs/>
          <w:color w:val="333333"/>
          <w:kern w:val="36"/>
          <w:sz w:val="44"/>
          <w:szCs w:val="44"/>
        </w:rPr>
        <w:t>（</w:t>
      </w:r>
      <w:r>
        <w:rPr>
          <w:rFonts w:hint="eastAsia" w:ascii="黑体" w:hAnsi="黑体" w:eastAsia="黑体" w:cs="黑体"/>
          <w:b/>
          <w:bCs/>
          <w:color w:val="333333"/>
          <w:kern w:val="36"/>
          <w:sz w:val="44"/>
          <w:szCs w:val="44"/>
          <w:lang w:eastAsia="zh-CN"/>
        </w:rPr>
        <w:t>漯河</w:t>
      </w:r>
      <w:r>
        <w:rPr>
          <w:rFonts w:hint="eastAsia" w:ascii="黑体" w:hAnsi="黑体" w:eastAsia="黑体" w:cs="黑体"/>
          <w:b/>
          <w:bCs/>
          <w:color w:val="333333"/>
          <w:kern w:val="36"/>
          <w:sz w:val="44"/>
          <w:szCs w:val="44"/>
        </w:rPr>
        <w:t>行政学院、</w:t>
      </w:r>
      <w:r>
        <w:rPr>
          <w:rFonts w:hint="eastAsia" w:ascii="黑体" w:hAnsi="黑体" w:eastAsia="黑体" w:cs="黑体"/>
          <w:b/>
          <w:bCs/>
          <w:color w:val="333333"/>
          <w:kern w:val="36"/>
          <w:sz w:val="44"/>
          <w:szCs w:val="44"/>
          <w:lang w:eastAsia="zh-CN"/>
        </w:rPr>
        <w:t>漯河</w:t>
      </w:r>
      <w:r>
        <w:rPr>
          <w:rFonts w:hint="eastAsia" w:ascii="黑体" w:hAnsi="黑体" w:eastAsia="黑体" w:cs="黑体"/>
          <w:b/>
          <w:bCs/>
          <w:color w:val="333333"/>
          <w:kern w:val="36"/>
          <w:sz w:val="44"/>
          <w:szCs w:val="44"/>
        </w:rPr>
        <w:t>市社会主义学院）2022年招才引智</w:t>
      </w:r>
    </w:p>
    <w:p>
      <w:pPr>
        <w:ind w:firstLine="883" w:firstLineChars="200"/>
        <w:rPr>
          <w:rFonts w:hint="eastAsia" w:ascii="黑体" w:hAnsi="黑体" w:eastAsia="黑体" w:cs="黑体"/>
          <w:b/>
          <w:bCs/>
          <w:color w:val="333333"/>
          <w:kern w:val="36"/>
          <w:sz w:val="44"/>
          <w:szCs w:val="44"/>
          <w:lang w:eastAsia="zh-CN"/>
        </w:rPr>
      </w:pPr>
      <w:r>
        <w:rPr>
          <w:rFonts w:hint="eastAsia" w:ascii="黑体" w:hAnsi="黑体" w:eastAsia="黑体" w:cs="黑体"/>
          <w:b/>
          <w:bCs/>
          <w:color w:val="333333"/>
          <w:kern w:val="36"/>
          <w:sz w:val="44"/>
          <w:szCs w:val="44"/>
          <w:lang w:eastAsia="zh-CN"/>
        </w:rPr>
        <w:t>引进高层次人才考试有关问题的通知</w:t>
      </w:r>
    </w:p>
    <w:p>
      <w:pPr>
        <w:ind w:firstLine="420" w:firstLineChars="200"/>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为优化人才队伍结构，加强校（院）教学科研人才队伍建设，按照《事业单位人事管理条例》、《事业单位公开招聘人员暂行规定》、《漯河市机关事业单位补充人员管理办法》（漯编〔2017〕3号）</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中共漯河市委组织部、中共漯河市委机构编制委员会办公室、漯河市人力资源和社会保障局关于印发&lt;第五届中国·河南招才引智创新发展大会漯河事业单位人才引进绿色通道工作方案&gt;的通知》（漯人社〔2022〕42号）</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漯河市机关事业单位公开遴选招聘人员工作领导小组《关于核定2022年漯河市事业单位招才引智工作引进人才计划有关问题的通知》（漯公遴聘〔2022〕8号）</w:t>
      </w:r>
      <w:r>
        <w:rPr>
          <w:rFonts w:hint="eastAsia" w:asciiTheme="minorEastAsia" w:hAnsiTheme="minorEastAsia" w:eastAsiaTheme="minorEastAsia" w:cstheme="minorEastAsia"/>
          <w:sz w:val="32"/>
          <w:szCs w:val="32"/>
          <w:lang w:eastAsia="zh-CN"/>
        </w:rPr>
        <w:t>和《</w:t>
      </w:r>
      <w:r>
        <w:rPr>
          <w:rFonts w:hint="eastAsia" w:asciiTheme="minorEastAsia" w:hAnsiTheme="minorEastAsia" w:eastAsiaTheme="minorEastAsia" w:cstheme="minorEastAsia"/>
          <w:sz w:val="32"/>
          <w:szCs w:val="32"/>
        </w:rPr>
        <w:t>中共漯河市委党校（漯河行政学院、漯河市社会主义学院）2022年招才引智引进高层次人才的招聘公告 </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等有关规定和要求，经</w:t>
      </w:r>
      <w:r>
        <w:rPr>
          <w:rFonts w:hint="eastAsia" w:asciiTheme="minorEastAsia" w:hAnsiTheme="minorEastAsia" w:eastAsiaTheme="minorEastAsia" w:cstheme="minorEastAsia"/>
          <w:sz w:val="32"/>
          <w:szCs w:val="32"/>
          <w:lang w:eastAsia="zh-CN"/>
        </w:rPr>
        <w:t>校党委研究</w:t>
      </w:r>
      <w:r>
        <w:rPr>
          <w:rFonts w:hint="eastAsia" w:asciiTheme="minorEastAsia" w:hAnsiTheme="minorEastAsia" w:eastAsiaTheme="minorEastAsia" w:cstheme="minorEastAsia"/>
          <w:sz w:val="32"/>
          <w:szCs w:val="32"/>
        </w:rPr>
        <w:t>决定，</w:t>
      </w:r>
      <w:r>
        <w:rPr>
          <w:rFonts w:hint="eastAsia" w:asciiTheme="minorEastAsia" w:hAnsiTheme="minorEastAsia" w:eastAsiaTheme="minorEastAsia" w:cstheme="minorEastAsia"/>
          <w:sz w:val="32"/>
          <w:szCs w:val="32"/>
          <w:lang w:eastAsia="zh-CN"/>
        </w:rPr>
        <w:t>特发布如下通知</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一、总体要求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坚持德才兼备、以德为先，坚持民主、公开、竞争、择优，坚持人岗相适，坚持考试与考察相结合，在符合新冠肺炎疫情防控相关要求的前提下，公开</w:t>
      </w:r>
      <w:r>
        <w:rPr>
          <w:rFonts w:hint="eastAsia" w:asciiTheme="minorEastAsia" w:hAnsiTheme="minorEastAsia" w:eastAsiaTheme="minorEastAsia" w:cstheme="minorEastAsia"/>
          <w:sz w:val="32"/>
          <w:szCs w:val="32"/>
          <w:lang w:eastAsia="zh-CN"/>
        </w:rPr>
        <w:t>招聘</w:t>
      </w:r>
      <w:r>
        <w:rPr>
          <w:rFonts w:hint="eastAsia" w:asciiTheme="minorEastAsia" w:hAnsiTheme="minorEastAsia" w:eastAsiaTheme="minorEastAsia" w:cstheme="minorEastAsia"/>
          <w:sz w:val="32"/>
          <w:szCs w:val="32"/>
        </w:rPr>
        <w:t>一批优秀</w:t>
      </w:r>
      <w:r>
        <w:rPr>
          <w:rFonts w:hint="eastAsia" w:asciiTheme="minorEastAsia" w:hAnsiTheme="minorEastAsia" w:eastAsiaTheme="minorEastAsia" w:cstheme="minorEastAsia"/>
          <w:sz w:val="32"/>
          <w:szCs w:val="32"/>
          <w:lang w:eastAsia="zh-CN"/>
        </w:rPr>
        <w:t>高层次人才</w:t>
      </w:r>
      <w:r>
        <w:rPr>
          <w:rFonts w:hint="eastAsia" w:asciiTheme="minorEastAsia" w:hAnsiTheme="minorEastAsia" w:eastAsiaTheme="minorEastAsia" w:cstheme="minorEastAsia"/>
          <w:sz w:val="32"/>
          <w:szCs w:val="32"/>
        </w:rPr>
        <w:t>到相关工作岗位（职位）。</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二、考生应聘期间疫情防控要求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1.健康码、场所码为绿码，通信大数据行程卡显示无异常的考生须提供开考时间前48小时内新冠肺炎病毒核酸检测阴性证明（纸质版、电子版均可）、且现场体温测量正常（＜37.3℃）、无新冠肺炎相关症状。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健康码、场所码为绿码，但通信大数据行程卡显示到达或途径中高风险地区所在城市的考生须提供开考前72小时内的两次新冠肺炎病毒核酸检测阴性证明（两次核酸检测时间间隔需超过24小时，纸质版、电子版均可）、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3.所有考生均需认真阅读《</w:t>
      </w:r>
      <w:r>
        <w:rPr>
          <w:rFonts w:hint="eastAsia" w:asciiTheme="minorEastAsia" w:hAnsiTheme="minorEastAsia" w:eastAsiaTheme="minorEastAsia" w:cstheme="minorEastAsia"/>
          <w:sz w:val="32"/>
          <w:szCs w:val="32"/>
          <w:lang w:eastAsia="zh-CN"/>
        </w:rPr>
        <w:t>中共漯河市委党校</w:t>
      </w:r>
      <w:r>
        <w:rPr>
          <w:rFonts w:hint="eastAsia" w:asciiTheme="minorEastAsia" w:hAnsiTheme="minorEastAsia" w:eastAsiaTheme="minorEastAsia" w:cstheme="minorEastAsia"/>
          <w:sz w:val="32"/>
          <w:szCs w:val="32"/>
        </w:rPr>
        <w:t>2022年招才引智引进高层次人才应聘考生疫情防控注意事项及温馨提示》（附件</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），如实报告个人健康状况，确保信息准确、属实，不得虚报、瞒报。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4.所有考生均需提前下载打印、如实填写《考生健康管理信息承诺书》（见附件</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5.在考试全程应当佩戴一次性医用外科口罩（除核验身份</w:t>
      </w:r>
      <w:r>
        <w:rPr>
          <w:rFonts w:hint="eastAsia" w:asciiTheme="minorEastAsia" w:hAnsiTheme="minorEastAsia" w:cstheme="minorEastAsia"/>
          <w:sz w:val="32"/>
          <w:szCs w:val="32"/>
          <w:lang w:eastAsia="zh-CN"/>
        </w:rPr>
        <w:t>和试讲</w:t>
      </w:r>
      <w:r>
        <w:rPr>
          <w:rFonts w:hint="eastAsia" w:asciiTheme="minorEastAsia" w:hAnsiTheme="minorEastAsia" w:eastAsiaTheme="minorEastAsia" w:cstheme="minorEastAsia"/>
          <w:sz w:val="32"/>
          <w:szCs w:val="32"/>
        </w:rPr>
        <w:t>时按要求及时摘戴口罩外）。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6.考生进出考点、考场时，应保持2米以上间距，有序行进，不扎堆、不聚集。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7.凡违反疫情防控有关规定，隐瞒、虚报旅居史、健康状况等疫情防控重要信息的，取消其应聘资格。造成不良后果的，将依法依规严肃追责。</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三</w:t>
      </w: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招聘</w:t>
      </w:r>
      <w:r>
        <w:rPr>
          <w:rFonts w:hint="eastAsia" w:asciiTheme="minorEastAsia" w:hAnsiTheme="minorEastAsia" w:eastAsiaTheme="minorEastAsia" w:cstheme="minorEastAsia"/>
          <w:b/>
          <w:bCs/>
          <w:sz w:val="32"/>
          <w:szCs w:val="32"/>
        </w:rPr>
        <w:t>程序与方法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在符合新冠肺炎疫情防控常态化相关要求的前提下，本次</w:t>
      </w:r>
      <w:r>
        <w:rPr>
          <w:rFonts w:hint="eastAsia" w:asciiTheme="minorEastAsia" w:hAnsiTheme="minorEastAsia" w:eastAsiaTheme="minorEastAsia" w:cstheme="minorEastAsia"/>
          <w:sz w:val="32"/>
          <w:szCs w:val="32"/>
          <w:lang w:eastAsia="zh-CN"/>
        </w:rPr>
        <w:t>中共漯河市委党校</w:t>
      </w:r>
      <w:r>
        <w:rPr>
          <w:rFonts w:hint="eastAsia" w:asciiTheme="minorEastAsia" w:hAnsiTheme="minorEastAsia" w:eastAsiaTheme="minorEastAsia" w:cstheme="minorEastAsia"/>
          <w:sz w:val="32"/>
          <w:szCs w:val="32"/>
        </w:rPr>
        <w:t>2022年招才引智引进高层次人才，按照报名与资格初审、笔试、</w:t>
      </w:r>
      <w:r>
        <w:rPr>
          <w:rFonts w:hint="eastAsia" w:asciiTheme="minorEastAsia" w:hAnsiTheme="minorEastAsia" w:eastAsiaTheme="minorEastAsia" w:cstheme="minorEastAsia"/>
          <w:sz w:val="32"/>
          <w:szCs w:val="32"/>
          <w:lang w:eastAsia="zh-CN"/>
        </w:rPr>
        <w:t>试讲</w:t>
      </w:r>
      <w:r>
        <w:rPr>
          <w:rFonts w:hint="eastAsia" w:asciiTheme="minorEastAsia" w:hAnsiTheme="minorEastAsia" w:eastAsiaTheme="minorEastAsia" w:cstheme="minorEastAsia"/>
          <w:sz w:val="32"/>
          <w:szCs w:val="32"/>
        </w:rPr>
        <w:t>、体检、考察、公示、</w:t>
      </w:r>
      <w:r>
        <w:rPr>
          <w:rFonts w:hint="eastAsia" w:asciiTheme="minorEastAsia" w:hAnsiTheme="minorEastAsia" w:eastAsiaTheme="minorEastAsia" w:cstheme="minorEastAsia"/>
          <w:sz w:val="32"/>
          <w:szCs w:val="32"/>
          <w:lang w:eastAsia="zh-CN"/>
        </w:rPr>
        <w:t>聘用</w:t>
      </w:r>
      <w:r>
        <w:rPr>
          <w:rFonts w:hint="eastAsia" w:asciiTheme="minorEastAsia" w:hAnsiTheme="minorEastAsia" w:eastAsiaTheme="minorEastAsia" w:cstheme="minorEastAsia"/>
          <w:sz w:val="32"/>
          <w:szCs w:val="32"/>
        </w:rPr>
        <w:t>及办理手续等办法和程序进行。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（一）资格初审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1.资格初审。工作人员对网上报名成功者的报名资料和照片进行资格初审，是否通过初审，</w:t>
      </w:r>
      <w:r>
        <w:rPr>
          <w:rFonts w:hint="eastAsia" w:asciiTheme="minorEastAsia" w:hAnsiTheme="minorEastAsia" w:eastAsiaTheme="minorEastAsia" w:cstheme="minorEastAsia"/>
          <w:sz w:val="32"/>
          <w:szCs w:val="32"/>
          <w:lang w:eastAsia="zh-CN"/>
        </w:rPr>
        <w:t>已经电话通知本人</w:t>
      </w:r>
      <w:r>
        <w:rPr>
          <w:rFonts w:hint="eastAsia" w:asciiTheme="minorEastAsia" w:hAnsiTheme="minorEastAsia" w:eastAsiaTheme="minorEastAsia" w:cstheme="minorEastAsia"/>
          <w:sz w:val="32"/>
          <w:szCs w:val="32"/>
        </w:rPr>
        <w:t>。报考资料不全或电子照片不符合要求的，报考者应及时补充或更换并按要求再次提交审查。报名人员对报名初审结果有异议的，可及时咨询反映（0395—31</w:t>
      </w:r>
      <w:r>
        <w:rPr>
          <w:rFonts w:hint="eastAsia" w:asciiTheme="minorEastAsia" w:hAnsiTheme="minorEastAsia" w:eastAsiaTheme="minorEastAsia" w:cstheme="minorEastAsia"/>
          <w:sz w:val="32"/>
          <w:szCs w:val="32"/>
          <w:lang w:val="en-US" w:eastAsia="zh-CN"/>
        </w:rPr>
        <w:t>15015</w:t>
      </w:r>
      <w:r>
        <w:rPr>
          <w:rFonts w:hint="eastAsia" w:asciiTheme="minorEastAsia" w:hAnsiTheme="minorEastAsia" w:eastAsiaTheme="minorEastAsia" w:cstheme="minorEastAsia"/>
          <w:sz w:val="32"/>
          <w:szCs w:val="32"/>
        </w:rPr>
        <w:t>，正常办公时间使用），报名结束后未反映的，视为对初审结果无异议。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资格审查贯穿招聘全过程，一旦查实应聘人员资格不符，随时取消应聘资格。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.开考比例。本次</w:t>
      </w:r>
      <w:r>
        <w:rPr>
          <w:rFonts w:hint="eastAsia" w:asciiTheme="minorEastAsia" w:hAnsiTheme="minorEastAsia" w:eastAsiaTheme="minorEastAsia" w:cstheme="minorEastAsia"/>
          <w:sz w:val="32"/>
          <w:szCs w:val="32"/>
          <w:lang w:eastAsia="zh-CN"/>
        </w:rPr>
        <w:t>招聘</w:t>
      </w:r>
      <w:r>
        <w:rPr>
          <w:rFonts w:hint="eastAsia" w:asciiTheme="minorEastAsia" w:hAnsiTheme="minorEastAsia" w:eastAsiaTheme="minorEastAsia" w:cstheme="minorEastAsia"/>
          <w:sz w:val="32"/>
          <w:szCs w:val="32"/>
        </w:rPr>
        <w:t>岗位（职位）的报名人数与拟</w:t>
      </w:r>
      <w:r>
        <w:rPr>
          <w:rFonts w:hint="eastAsia" w:asciiTheme="minorEastAsia" w:hAnsiTheme="minorEastAsia" w:eastAsiaTheme="minorEastAsia" w:cstheme="minorEastAsia"/>
          <w:sz w:val="32"/>
          <w:szCs w:val="32"/>
          <w:lang w:eastAsia="zh-CN"/>
        </w:rPr>
        <w:t>招聘</w:t>
      </w:r>
      <w:r>
        <w:rPr>
          <w:rFonts w:hint="eastAsia" w:asciiTheme="minorEastAsia" w:hAnsiTheme="minorEastAsia" w:eastAsiaTheme="minorEastAsia" w:cstheme="minorEastAsia"/>
          <w:sz w:val="32"/>
          <w:szCs w:val="32"/>
        </w:rPr>
        <w:t>人数的比例原则上不低于4:1；各</w:t>
      </w:r>
      <w:r>
        <w:rPr>
          <w:rFonts w:hint="eastAsia" w:asciiTheme="minorEastAsia" w:hAnsiTheme="minorEastAsia" w:eastAsiaTheme="minorEastAsia" w:cstheme="minorEastAsia"/>
          <w:sz w:val="32"/>
          <w:szCs w:val="32"/>
          <w:lang w:eastAsia="zh-CN"/>
        </w:rPr>
        <w:t>招聘</w:t>
      </w:r>
      <w:r>
        <w:rPr>
          <w:rFonts w:hint="eastAsia" w:asciiTheme="minorEastAsia" w:hAnsiTheme="minorEastAsia" w:eastAsiaTheme="minorEastAsia" w:cstheme="minorEastAsia"/>
          <w:sz w:val="32"/>
          <w:szCs w:val="32"/>
        </w:rPr>
        <w:t>岗位（职位）报名人数与拟</w:t>
      </w:r>
      <w:r>
        <w:rPr>
          <w:rFonts w:hint="eastAsia" w:asciiTheme="minorEastAsia" w:hAnsiTheme="minorEastAsia" w:eastAsiaTheme="minorEastAsia" w:cstheme="minorEastAsia"/>
          <w:sz w:val="32"/>
          <w:szCs w:val="32"/>
          <w:lang w:eastAsia="zh-CN"/>
        </w:rPr>
        <w:t>招聘</w:t>
      </w:r>
      <w:r>
        <w:rPr>
          <w:rFonts w:hint="eastAsia" w:asciiTheme="minorEastAsia" w:hAnsiTheme="minorEastAsia" w:eastAsiaTheme="minorEastAsia" w:cstheme="minorEastAsia"/>
          <w:sz w:val="32"/>
          <w:szCs w:val="32"/>
        </w:rPr>
        <w:t>人数达不到开考比例的，该岗位（职位）不再</w:t>
      </w:r>
      <w:r>
        <w:rPr>
          <w:rFonts w:hint="eastAsia" w:asciiTheme="minorEastAsia" w:hAnsiTheme="minorEastAsia" w:eastAsiaTheme="minorEastAsia" w:cstheme="minorEastAsia"/>
          <w:sz w:val="32"/>
          <w:szCs w:val="32"/>
          <w:lang w:eastAsia="zh-CN"/>
        </w:rPr>
        <w:t>招聘</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（二）考试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考试采取笔试和</w:t>
      </w:r>
      <w:r>
        <w:rPr>
          <w:rFonts w:hint="eastAsia" w:asciiTheme="minorEastAsia" w:hAnsiTheme="minorEastAsia" w:eastAsiaTheme="minorEastAsia" w:cstheme="minorEastAsia"/>
          <w:sz w:val="32"/>
          <w:szCs w:val="32"/>
          <w:lang w:eastAsia="zh-CN"/>
        </w:rPr>
        <w:t>试讲</w:t>
      </w:r>
      <w:r>
        <w:rPr>
          <w:rFonts w:hint="eastAsia" w:asciiTheme="minorEastAsia" w:hAnsiTheme="minorEastAsia" w:eastAsiaTheme="minorEastAsia" w:cstheme="minorEastAsia"/>
          <w:sz w:val="32"/>
          <w:szCs w:val="32"/>
        </w:rPr>
        <w:t>相结合的方式进行</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考生均须持本人有效身份证</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“两码一卡”</w:t>
      </w:r>
      <w:r>
        <w:rPr>
          <w:rFonts w:hint="eastAsia" w:asciiTheme="minorEastAsia" w:hAnsiTheme="minorEastAsia" w:cstheme="minorEastAsia"/>
          <w:sz w:val="32"/>
          <w:szCs w:val="32"/>
          <w:lang w:eastAsia="zh-CN"/>
        </w:rPr>
        <w:t>和有效期内的核酸检测阴性证明（纸质版、电子版均可）</w:t>
      </w:r>
      <w:r>
        <w:rPr>
          <w:rFonts w:hint="eastAsia" w:asciiTheme="minorEastAsia" w:hAnsiTheme="minorEastAsia" w:eastAsiaTheme="minorEastAsia" w:cstheme="minorEastAsia"/>
          <w:sz w:val="32"/>
          <w:szCs w:val="32"/>
        </w:rPr>
        <w:t>参加考试</w:t>
      </w:r>
      <w:r>
        <w:rPr>
          <w:rFonts w:hint="eastAsia" w:asciiTheme="minorEastAsia" w:hAnsiTheme="minorEastAsia" w:eastAsiaTheme="minorEastAsia" w:cstheme="minorEastAsia"/>
          <w:sz w:val="32"/>
          <w:szCs w:val="32"/>
          <w:lang w:eastAsia="zh-CN"/>
        </w:rPr>
        <w:t>，笔试时还要提供教育部学历证书电子注册备案表(本科、研究生阶段的毕业证和学位证都要提供，可以通过学信网下载，考试后</w:t>
      </w:r>
      <w:r>
        <w:rPr>
          <w:rFonts w:hint="eastAsia" w:asciiTheme="minorEastAsia" w:hAnsiTheme="minorEastAsia" w:cstheme="minorEastAsia"/>
          <w:sz w:val="32"/>
          <w:szCs w:val="32"/>
          <w:lang w:eastAsia="zh-CN"/>
        </w:rPr>
        <w:t>和《考生健康管理信息承诺书》</w:t>
      </w:r>
      <w:r>
        <w:rPr>
          <w:rFonts w:hint="eastAsia" w:asciiTheme="minorEastAsia" w:hAnsiTheme="minorEastAsia" w:eastAsiaTheme="minorEastAsia" w:cstheme="minorEastAsia"/>
          <w:sz w:val="32"/>
          <w:szCs w:val="32"/>
          <w:lang w:eastAsia="zh-CN"/>
        </w:rPr>
        <w:t>统一回收存在本人报名材料内)</w:t>
      </w:r>
      <w:r>
        <w:rPr>
          <w:rFonts w:hint="eastAsia" w:asciiTheme="minorEastAsia" w:hAnsiTheme="minorEastAsia" w:eastAsiaTheme="minorEastAsia" w:cstheme="minorEastAsia"/>
          <w:sz w:val="32"/>
          <w:szCs w:val="32"/>
        </w:rPr>
        <w:t>。逾期不参加</w:t>
      </w:r>
      <w:r>
        <w:rPr>
          <w:rFonts w:hint="eastAsia" w:asciiTheme="minorEastAsia" w:hAnsiTheme="minorEastAsia" w:eastAsiaTheme="minorEastAsia" w:cstheme="minorEastAsia"/>
          <w:sz w:val="32"/>
          <w:szCs w:val="32"/>
          <w:lang w:eastAsia="zh-CN"/>
        </w:rPr>
        <w:t>笔试和试讲</w:t>
      </w:r>
      <w:r>
        <w:rPr>
          <w:rFonts w:hint="eastAsia" w:asciiTheme="minorEastAsia" w:hAnsiTheme="minorEastAsia" w:eastAsiaTheme="minorEastAsia" w:cstheme="minorEastAsia"/>
          <w:sz w:val="32"/>
          <w:szCs w:val="32"/>
        </w:rPr>
        <w:t>的考生，视为自动放弃。笔试</w:t>
      </w:r>
      <w:r>
        <w:rPr>
          <w:rFonts w:hint="eastAsia" w:asciiTheme="minorEastAsia" w:hAnsiTheme="minorEastAsia" w:eastAsiaTheme="minorEastAsia" w:cstheme="minorEastAsia"/>
          <w:sz w:val="32"/>
          <w:szCs w:val="32"/>
          <w:lang w:eastAsia="zh-CN"/>
        </w:rPr>
        <w:t>和试讲成绩</w:t>
      </w:r>
      <w:r>
        <w:rPr>
          <w:rFonts w:hint="eastAsia" w:asciiTheme="minorEastAsia" w:hAnsiTheme="minorEastAsia" w:eastAsiaTheme="minorEastAsia" w:cstheme="minorEastAsia"/>
          <w:sz w:val="32"/>
          <w:szCs w:val="32"/>
        </w:rPr>
        <w:t>公布在</w:t>
      </w:r>
      <w:r>
        <w:rPr>
          <w:rFonts w:hint="eastAsia" w:asciiTheme="minorEastAsia" w:hAnsiTheme="minorEastAsia" w:eastAsiaTheme="minorEastAsia" w:cstheme="minorEastAsia"/>
          <w:sz w:val="32"/>
          <w:szCs w:val="32"/>
          <w:lang w:eastAsia="zh-CN"/>
        </w:rPr>
        <w:t>中共漯河市委党校</w:t>
      </w:r>
      <w:r>
        <w:rPr>
          <w:rFonts w:hint="eastAsia" w:asciiTheme="minorEastAsia" w:hAnsiTheme="minorEastAsia" w:eastAsiaTheme="minorEastAsia" w:cstheme="minorEastAsia"/>
          <w:sz w:val="32"/>
          <w:szCs w:val="32"/>
        </w:rPr>
        <w:t>网站（https://www.lhswdx.com/）通知。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1.笔试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（1）笔试采取闭卷方式进行，统一命题、统一组织、统一评分，</w:t>
      </w:r>
      <w:r>
        <w:rPr>
          <w:rFonts w:hint="eastAsia" w:asciiTheme="minorEastAsia" w:hAnsiTheme="minorEastAsia" w:eastAsiaTheme="minorEastAsia" w:cstheme="minorEastAsia"/>
          <w:sz w:val="32"/>
          <w:szCs w:val="32"/>
          <w:lang w:eastAsia="zh-CN"/>
        </w:rPr>
        <w:t>时间</w:t>
      </w:r>
      <w:r>
        <w:rPr>
          <w:rFonts w:hint="eastAsia" w:asciiTheme="minorEastAsia" w:hAnsiTheme="minorEastAsia" w:eastAsiaTheme="minorEastAsia" w:cstheme="minorEastAsia"/>
          <w:sz w:val="32"/>
          <w:szCs w:val="32"/>
          <w:lang w:val="en-US" w:eastAsia="zh-CN"/>
        </w:rPr>
        <w:t>2个小时</w:t>
      </w:r>
      <w:r>
        <w:rPr>
          <w:rFonts w:hint="eastAsia" w:asciiTheme="minorEastAsia" w:hAnsiTheme="minorEastAsia" w:eastAsiaTheme="minorEastAsia" w:cstheme="minorEastAsia"/>
          <w:sz w:val="32"/>
          <w:szCs w:val="32"/>
        </w:rPr>
        <w:t>。笔试满分为100分。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（2）时间</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2022年9月28日下午3:30，应聘者提前一个小时到达考点。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地点:</w:t>
      </w:r>
      <w:r>
        <w:rPr>
          <w:rFonts w:hint="eastAsia" w:asciiTheme="minorEastAsia" w:hAnsiTheme="minorEastAsia" w:eastAsiaTheme="minorEastAsia" w:cstheme="minorEastAsia"/>
          <w:sz w:val="32"/>
          <w:szCs w:val="32"/>
          <w:lang w:val="en-US" w:eastAsia="zh-CN"/>
        </w:rPr>
        <w:t xml:space="preserve"> 市委党校综合楼五楼会议室</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试讲</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（1）考生结合</w:t>
      </w:r>
      <w:r>
        <w:rPr>
          <w:rFonts w:hint="eastAsia" w:asciiTheme="minorEastAsia" w:hAnsiTheme="minorEastAsia" w:cstheme="minorEastAsia"/>
          <w:sz w:val="32"/>
          <w:szCs w:val="32"/>
          <w:lang w:eastAsia="zh-CN"/>
        </w:rPr>
        <w:t>所学</w:t>
      </w:r>
      <w:r>
        <w:rPr>
          <w:rFonts w:hint="eastAsia" w:asciiTheme="minorEastAsia" w:hAnsiTheme="minorEastAsia" w:eastAsiaTheme="minorEastAsia" w:cstheme="minorEastAsia"/>
          <w:sz w:val="32"/>
          <w:szCs w:val="32"/>
        </w:rPr>
        <w:t>的专业就某一方面的内容，提前制作教学课件，试讲时间</w:t>
      </w:r>
      <w:r>
        <w:rPr>
          <w:rFonts w:hint="eastAsia" w:asciiTheme="minorEastAsia" w:hAnsiTheme="minorEastAsia" w:eastAsiaTheme="minorEastAsia" w:cstheme="minorEastAsia"/>
          <w:sz w:val="32"/>
          <w:szCs w:val="32"/>
          <w:lang w:val="en-US" w:eastAsia="zh-CN"/>
        </w:rPr>
        <w:t>15</w:t>
      </w:r>
      <w:r>
        <w:rPr>
          <w:rFonts w:hint="eastAsia" w:asciiTheme="minorEastAsia" w:hAnsiTheme="minorEastAsia" w:eastAsiaTheme="minorEastAsia" w:cstheme="minorEastAsia"/>
          <w:sz w:val="32"/>
          <w:szCs w:val="32"/>
        </w:rPr>
        <w:t>分钟之内。</w:t>
      </w:r>
      <w:r>
        <w:rPr>
          <w:rFonts w:hint="eastAsia" w:asciiTheme="minorEastAsia" w:hAnsiTheme="minorEastAsia" w:eastAsiaTheme="minorEastAsia" w:cstheme="minorEastAsia"/>
          <w:sz w:val="32"/>
          <w:szCs w:val="32"/>
          <w:lang w:eastAsia="zh-CN"/>
        </w:rPr>
        <w:t>试讲</w:t>
      </w:r>
      <w:r>
        <w:rPr>
          <w:rFonts w:hint="eastAsia" w:asciiTheme="minorEastAsia" w:hAnsiTheme="minorEastAsia" w:eastAsiaTheme="minorEastAsia" w:cstheme="minorEastAsia"/>
          <w:sz w:val="32"/>
          <w:szCs w:val="32"/>
        </w:rPr>
        <w:t>满分为100分。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eastAsia="zh-CN"/>
        </w:rPr>
        <w:t>）时间：</w:t>
      </w:r>
      <w:r>
        <w:rPr>
          <w:rFonts w:hint="eastAsia" w:asciiTheme="minorEastAsia" w:hAnsiTheme="minorEastAsia" w:eastAsiaTheme="minorEastAsia" w:cstheme="minorEastAsia"/>
          <w:sz w:val="32"/>
          <w:szCs w:val="32"/>
          <w:lang w:val="en-US" w:eastAsia="zh-CN"/>
        </w:rPr>
        <w:t>2022年9月29日全天。</w:t>
      </w:r>
      <w:r>
        <w:rPr>
          <w:rFonts w:hint="eastAsia" w:asciiTheme="minorEastAsia" w:hAnsiTheme="minorEastAsia" w:cstheme="minorEastAsia"/>
          <w:sz w:val="32"/>
          <w:szCs w:val="32"/>
          <w:lang w:val="en-US" w:eastAsia="zh-CN"/>
        </w:rPr>
        <w:t>考生请于7:20前到达市委党校考点，8:00开始试讲。</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（3）地点：市委党校</w:t>
      </w:r>
      <w:r>
        <w:rPr>
          <w:rFonts w:hint="eastAsia" w:asciiTheme="minorEastAsia" w:hAnsiTheme="minorEastAsia" w:cstheme="minorEastAsia"/>
          <w:sz w:val="32"/>
          <w:szCs w:val="32"/>
          <w:lang w:val="en-US" w:eastAsia="zh-CN"/>
        </w:rPr>
        <w:t>报告厅（具体考场参看校园内考场示意图）</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3.考试总成绩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考试总成绩=笔试成绩×</w:t>
      </w: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0%+</w:t>
      </w:r>
      <w:r>
        <w:rPr>
          <w:rFonts w:hint="eastAsia" w:asciiTheme="minorEastAsia" w:hAnsiTheme="minorEastAsia" w:eastAsiaTheme="minorEastAsia" w:cstheme="minorEastAsia"/>
          <w:sz w:val="32"/>
          <w:szCs w:val="32"/>
          <w:lang w:eastAsia="zh-CN"/>
        </w:rPr>
        <w:t>试讲</w:t>
      </w:r>
      <w:r>
        <w:rPr>
          <w:rFonts w:hint="eastAsia" w:asciiTheme="minorEastAsia" w:hAnsiTheme="minorEastAsia" w:eastAsiaTheme="minorEastAsia" w:cstheme="minorEastAsia"/>
          <w:sz w:val="32"/>
          <w:szCs w:val="32"/>
        </w:rPr>
        <w:t>成绩×</w:t>
      </w: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rPr>
        <w:t>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笔试成绩、</w:t>
      </w:r>
      <w:r>
        <w:rPr>
          <w:rFonts w:hint="eastAsia" w:asciiTheme="minorEastAsia" w:hAnsiTheme="minorEastAsia" w:eastAsiaTheme="minorEastAsia" w:cstheme="minorEastAsia"/>
          <w:sz w:val="32"/>
          <w:szCs w:val="32"/>
          <w:lang w:eastAsia="zh-CN"/>
        </w:rPr>
        <w:t>试讲</w:t>
      </w:r>
      <w:r>
        <w:rPr>
          <w:rFonts w:hint="eastAsia" w:asciiTheme="minorEastAsia" w:hAnsiTheme="minorEastAsia" w:eastAsiaTheme="minorEastAsia" w:cstheme="minorEastAsia"/>
          <w:sz w:val="32"/>
          <w:szCs w:val="32"/>
        </w:rPr>
        <w:t>成绩、考试总成绩均保留两位小数。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（三）体检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1.根据考试总成绩，按拟</w:t>
      </w:r>
      <w:r>
        <w:rPr>
          <w:rFonts w:hint="eastAsia" w:asciiTheme="minorEastAsia" w:hAnsiTheme="minorEastAsia" w:eastAsiaTheme="minorEastAsia" w:cstheme="minorEastAsia"/>
          <w:sz w:val="32"/>
          <w:szCs w:val="32"/>
          <w:lang w:eastAsia="zh-CN"/>
        </w:rPr>
        <w:t>招聘</w:t>
      </w:r>
      <w:r>
        <w:rPr>
          <w:rFonts w:hint="eastAsia" w:asciiTheme="minorEastAsia" w:hAnsiTheme="minorEastAsia" w:eastAsiaTheme="minorEastAsia" w:cstheme="minorEastAsia"/>
          <w:sz w:val="32"/>
          <w:szCs w:val="32"/>
        </w:rPr>
        <w:t>岗位（职位）人数1：1的比例，确定体检对象。总成绩入围名次出现并列的，以</w:t>
      </w:r>
      <w:r>
        <w:rPr>
          <w:rFonts w:hint="eastAsia" w:asciiTheme="minorEastAsia" w:hAnsiTheme="minorEastAsia" w:eastAsiaTheme="minorEastAsia" w:cstheme="minorEastAsia"/>
          <w:sz w:val="32"/>
          <w:szCs w:val="32"/>
          <w:lang w:eastAsia="zh-CN"/>
        </w:rPr>
        <w:t>试讲</w:t>
      </w:r>
      <w:r>
        <w:rPr>
          <w:rFonts w:hint="eastAsia" w:asciiTheme="minorEastAsia" w:hAnsiTheme="minorEastAsia" w:eastAsiaTheme="minorEastAsia" w:cstheme="minorEastAsia"/>
          <w:sz w:val="32"/>
          <w:szCs w:val="32"/>
        </w:rPr>
        <w:t>成绩从高分到低分确定体检对象。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2.体检参照国家公务员录用体检有关标准和规定进行。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3.体检对象因体检不合格出现</w:t>
      </w:r>
      <w:r>
        <w:rPr>
          <w:rFonts w:hint="eastAsia" w:asciiTheme="minorEastAsia" w:hAnsiTheme="minorEastAsia" w:eastAsiaTheme="minorEastAsia" w:cstheme="minorEastAsia"/>
          <w:sz w:val="32"/>
          <w:szCs w:val="32"/>
          <w:lang w:eastAsia="zh-CN"/>
        </w:rPr>
        <w:t>招聘</w:t>
      </w:r>
      <w:r>
        <w:rPr>
          <w:rFonts w:hint="eastAsia" w:asciiTheme="minorEastAsia" w:hAnsiTheme="minorEastAsia" w:eastAsiaTheme="minorEastAsia" w:cstheme="minorEastAsia"/>
          <w:sz w:val="32"/>
          <w:szCs w:val="32"/>
        </w:rPr>
        <w:t>岗位（职位）缺额的，按照考试总成绩，从高分到低分依次等额递补。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体检合格人员，确定为考察对象，对考察对象的政治素质和德、能、勤、绩、廉进行全面考察，重点考察政治素质、德的情况、工作实绩和群众公认度。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（五）公示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考察合格人员，确定为拟聘用对象，并进行公示。公示时间为5个工作日。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（六）聘用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公示无异议的人员，按照漯河市机关事业单位公开遴选招聘人员工作领导小组《关于核定2022年漯河市事业单位招才引智工作引进人才计划有关问题的通知》（漯公遴聘〔2022〕8号）文件要求，报市机关事业单位公开遴选招聘人员工作领导小组办公室备案，及时到组织、编制、人社部门，为引进人才办理编制、调动、公开招聘和岗位聘用备案及工资、参保等相关手续。聘用人员实行试</w:t>
      </w:r>
      <w:r>
        <w:rPr>
          <w:rFonts w:hint="eastAsia" w:asciiTheme="minorEastAsia" w:hAnsiTheme="minorEastAsia" w:eastAsiaTheme="minorEastAsia" w:cstheme="minorEastAsia"/>
          <w:sz w:val="32"/>
          <w:szCs w:val="32"/>
          <w:lang w:eastAsia="zh-CN"/>
        </w:rPr>
        <w:t>聘</w:t>
      </w:r>
      <w:r>
        <w:rPr>
          <w:rFonts w:hint="eastAsia" w:asciiTheme="minorEastAsia" w:hAnsiTheme="minorEastAsia" w:eastAsiaTheme="minorEastAsia" w:cstheme="minorEastAsia"/>
          <w:sz w:val="32"/>
          <w:szCs w:val="32"/>
        </w:rPr>
        <w:t>期制度，试</w:t>
      </w:r>
      <w:r>
        <w:rPr>
          <w:rFonts w:hint="eastAsia" w:asciiTheme="minorEastAsia" w:hAnsiTheme="minorEastAsia" w:eastAsiaTheme="minorEastAsia" w:cstheme="minorEastAsia"/>
          <w:sz w:val="32"/>
          <w:szCs w:val="32"/>
          <w:lang w:eastAsia="zh-CN"/>
        </w:rPr>
        <w:t>聘</w:t>
      </w:r>
      <w:r>
        <w:rPr>
          <w:rFonts w:hint="eastAsia" w:asciiTheme="minorEastAsia" w:hAnsiTheme="minorEastAsia" w:eastAsiaTheme="minorEastAsia" w:cstheme="minorEastAsia"/>
          <w:sz w:val="32"/>
          <w:szCs w:val="32"/>
        </w:rPr>
        <w:t>期为12个月。试</w:t>
      </w:r>
      <w:r>
        <w:rPr>
          <w:rFonts w:hint="eastAsia" w:asciiTheme="minorEastAsia" w:hAnsiTheme="minorEastAsia" w:eastAsiaTheme="minorEastAsia" w:cstheme="minorEastAsia"/>
          <w:sz w:val="32"/>
          <w:szCs w:val="32"/>
          <w:lang w:eastAsia="zh-CN"/>
        </w:rPr>
        <w:t>聘</w:t>
      </w:r>
      <w:r>
        <w:rPr>
          <w:rFonts w:hint="eastAsia" w:asciiTheme="minorEastAsia" w:hAnsiTheme="minorEastAsia" w:eastAsiaTheme="minorEastAsia" w:cstheme="minorEastAsia"/>
          <w:sz w:val="32"/>
          <w:szCs w:val="32"/>
        </w:rPr>
        <w:t>期满后进行综合考察，合格的予以正式聘用；不合格的，取消聘用资格。引进后服务期不少于5年（含试</w:t>
      </w:r>
      <w:r>
        <w:rPr>
          <w:rFonts w:hint="eastAsia" w:asciiTheme="minorEastAsia" w:hAnsiTheme="minorEastAsia" w:eastAsiaTheme="minorEastAsia" w:cstheme="minorEastAsia"/>
          <w:sz w:val="32"/>
          <w:szCs w:val="32"/>
          <w:lang w:eastAsia="zh-CN"/>
        </w:rPr>
        <w:t>聘</w:t>
      </w:r>
      <w:r>
        <w:rPr>
          <w:rFonts w:hint="eastAsia" w:asciiTheme="minorEastAsia" w:hAnsiTheme="minorEastAsia" w:eastAsiaTheme="minorEastAsia" w:cstheme="minorEastAsia"/>
          <w:sz w:val="32"/>
          <w:szCs w:val="32"/>
        </w:rPr>
        <w:t>期）。</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四</w:t>
      </w:r>
      <w:r>
        <w:rPr>
          <w:rFonts w:hint="eastAsia" w:asciiTheme="minorEastAsia" w:hAnsiTheme="minorEastAsia" w:eastAsiaTheme="minorEastAsia" w:cstheme="minorEastAsia"/>
          <w:b/>
          <w:bCs/>
          <w:sz w:val="32"/>
          <w:szCs w:val="32"/>
        </w:rPr>
        <w:t>、有关要求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（一）资格审查工作贯穿于</w:t>
      </w:r>
      <w:r>
        <w:rPr>
          <w:rFonts w:hint="eastAsia" w:asciiTheme="minorEastAsia" w:hAnsiTheme="minorEastAsia" w:eastAsiaTheme="minorEastAsia" w:cstheme="minorEastAsia"/>
          <w:sz w:val="32"/>
          <w:szCs w:val="32"/>
          <w:lang w:eastAsia="zh-CN"/>
        </w:rPr>
        <w:t>招聘</w:t>
      </w:r>
      <w:r>
        <w:rPr>
          <w:rFonts w:hint="eastAsia" w:asciiTheme="minorEastAsia" w:hAnsiTheme="minorEastAsia" w:eastAsiaTheme="minorEastAsia" w:cstheme="minorEastAsia"/>
          <w:sz w:val="32"/>
          <w:szCs w:val="32"/>
        </w:rPr>
        <w:t>工作全过程。报考人员提供的有关资料必须真实有效。发现报考人员与</w:t>
      </w:r>
      <w:r>
        <w:rPr>
          <w:rFonts w:hint="eastAsia" w:asciiTheme="minorEastAsia" w:hAnsiTheme="minorEastAsia" w:eastAsiaTheme="minorEastAsia" w:cstheme="minorEastAsia"/>
          <w:sz w:val="32"/>
          <w:szCs w:val="32"/>
          <w:lang w:eastAsia="zh-CN"/>
        </w:rPr>
        <w:t>招聘</w:t>
      </w:r>
      <w:r>
        <w:rPr>
          <w:rFonts w:hint="eastAsia" w:asciiTheme="minorEastAsia" w:hAnsiTheme="minorEastAsia" w:eastAsiaTheme="minorEastAsia" w:cstheme="minorEastAsia"/>
          <w:sz w:val="32"/>
          <w:szCs w:val="32"/>
        </w:rPr>
        <w:t>岗位（职位）要求的资格条件不符、提供虚假材料及其他舞弊行为的，立即取消其聘用资格。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（二）中共漯河市委党校网站（https://www.lhswdx.com/）为本次</w:t>
      </w:r>
      <w:r>
        <w:rPr>
          <w:rFonts w:hint="eastAsia" w:asciiTheme="minorEastAsia" w:hAnsiTheme="minorEastAsia" w:eastAsiaTheme="minorEastAsia" w:cstheme="minorEastAsia"/>
          <w:sz w:val="32"/>
          <w:szCs w:val="32"/>
          <w:lang w:eastAsia="zh-CN"/>
        </w:rPr>
        <w:t>招聘</w:t>
      </w:r>
      <w:r>
        <w:rPr>
          <w:rFonts w:hint="eastAsia" w:asciiTheme="minorEastAsia" w:hAnsiTheme="minorEastAsia" w:eastAsiaTheme="minorEastAsia" w:cstheme="minorEastAsia"/>
          <w:sz w:val="32"/>
          <w:szCs w:val="32"/>
        </w:rPr>
        <w:t>工作网站，有关信息均将通过此网站发布，请考生注意查询，提前准备相关材料。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（三）报考人员在</w:t>
      </w:r>
      <w:r>
        <w:rPr>
          <w:rFonts w:hint="eastAsia" w:asciiTheme="minorEastAsia" w:hAnsiTheme="minorEastAsia" w:eastAsiaTheme="minorEastAsia" w:cstheme="minorEastAsia"/>
          <w:sz w:val="32"/>
          <w:szCs w:val="32"/>
          <w:lang w:eastAsia="zh-CN"/>
        </w:rPr>
        <w:t>招聘</w:t>
      </w:r>
      <w:r>
        <w:rPr>
          <w:rFonts w:hint="eastAsia" w:asciiTheme="minorEastAsia" w:hAnsiTheme="minorEastAsia" w:eastAsiaTheme="minorEastAsia" w:cstheme="minorEastAsia"/>
          <w:sz w:val="32"/>
          <w:szCs w:val="32"/>
        </w:rPr>
        <w:t>各环节期间务必保持报名时留下的联系方式畅通，通讯方式变更的，应及时告知，</w:t>
      </w:r>
      <w:r>
        <w:rPr>
          <w:rFonts w:hint="eastAsia" w:asciiTheme="minorEastAsia" w:hAnsiTheme="minorEastAsia" w:eastAsiaTheme="minorEastAsia" w:cstheme="minorEastAsia"/>
          <w:sz w:val="32"/>
          <w:szCs w:val="32"/>
          <w:lang w:eastAsia="zh-CN"/>
        </w:rPr>
        <w:t>招聘</w:t>
      </w:r>
      <w:r>
        <w:rPr>
          <w:rFonts w:hint="eastAsia" w:asciiTheme="minorEastAsia" w:hAnsiTheme="minorEastAsia" w:eastAsiaTheme="minorEastAsia" w:cstheme="minorEastAsia"/>
          <w:sz w:val="32"/>
          <w:szCs w:val="32"/>
        </w:rPr>
        <w:t>期间因无法联系导致报考人员不能按规定时间参加的，视为自动放弃。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（四）本次考试不指定考试辅导用书，不举办也不委托任何机构举办考试辅导培训班。</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（五）本</w:t>
      </w:r>
      <w:r>
        <w:rPr>
          <w:rFonts w:hint="eastAsia" w:asciiTheme="minorEastAsia" w:hAnsiTheme="minorEastAsia" w:eastAsiaTheme="minorEastAsia" w:cstheme="minorEastAsia"/>
          <w:sz w:val="32"/>
          <w:szCs w:val="32"/>
          <w:lang w:eastAsia="zh-CN"/>
        </w:rPr>
        <w:t>通知</w:t>
      </w:r>
      <w:r>
        <w:rPr>
          <w:rFonts w:hint="eastAsia" w:asciiTheme="minorEastAsia" w:hAnsiTheme="minorEastAsia" w:eastAsiaTheme="minorEastAsia" w:cstheme="minorEastAsia"/>
          <w:sz w:val="32"/>
          <w:szCs w:val="32"/>
        </w:rPr>
        <w:t>由</w:t>
      </w:r>
      <w:r>
        <w:rPr>
          <w:rFonts w:hint="eastAsia" w:asciiTheme="minorEastAsia" w:hAnsiTheme="minorEastAsia" w:eastAsiaTheme="minorEastAsia" w:cstheme="minorEastAsia"/>
          <w:sz w:val="32"/>
          <w:szCs w:val="32"/>
          <w:lang w:eastAsia="zh-CN"/>
        </w:rPr>
        <w:t>中共漯河市委党校公开</w:t>
      </w:r>
      <w:r>
        <w:rPr>
          <w:rFonts w:hint="eastAsia" w:asciiTheme="minorEastAsia" w:hAnsiTheme="minorEastAsia" w:eastAsiaTheme="minorEastAsia" w:cstheme="minorEastAsia"/>
          <w:sz w:val="32"/>
          <w:szCs w:val="32"/>
        </w:rPr>
        <w:t>招聘工作领导小组办公室负责解释。</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附件：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1.中共漯河市委党校2022年招才引智引进高层次人才应聘考生疫情防控注意事项及温馨提示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.考生健康管理信息承诺书</w:t>
      </w:r>
    </w:p>
    <w:p>
      <w:pPr>
        <w:pStyle w:val="2"/>
        <w:rPr>
          <w:rFonts w:hint="default" w:eastAsiaTheme="minorEastAsia"/>
          <w:lang w:val="en-US" w:eastAsia="zh-CN"/>
        </w:rPr>
      </w:pPr>
      <w:r>
        <w:rPr>
          <w:rFonts w:hint="eastAsia" w:asciiTheme="minorEastAsia" w:hAnsiTheme="minorEastAsia" w:eastAsiaTheme="minorEastAsia" w:cstheme="minorEastAsia"/>
          <w:sz w:val="32"/>
          <w:szCs w:val="32"/>
          <w:lang w:val="en-US" w:eastAsia="zh-CN"/>
        </w:rPr>
        <w:t>3.中共漯河市委党校平面图</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中共漯河市委党校</w:t>
      </w:r>
      <w:r>
        <w:rPr>
          <w:rFonts w:hint="eastAsia" w:asciiTheme="minorEastAsia" w:hAnsiTheme="minorEastAsia" w:eastAsiaTheme="minorEastAsia" w:cstheme="minorEastAsia"/>
          <w:sz w:val="32"/>
          <w:szCs w:val="32"/>
        </w:rPr>
        <w:t xml:space="preserve">公开招聘工作领导小组办公室  </w:t>
      </w:r>
    </w:p>
    <w:p>
      <w:pPr>
        <w:keepNext w:val="0"/>
        <w:keepLines w:val="0"/>
        <w:pageBreakBefore w:val="0"/>
        <w:widowControl w:val="0"/>
        <w:kinsoku/>
        <w:wordWrap/>
        <w:overflowPunct/>
        <w:topLinePunct w:val="0"/>
        <w:autoSpaceDE/>
        <w:autoSpaceDN/>
        <w:bidi w:val="0"/>
        <w:adjustRightInd/>
        <w:snapToGrid/>
        <w:spacing w:line="480" w:lineRule="exact"/>
        <w:ind w:firstLine="4160" w:firstLineChars="13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2022年9月2</w:t>
      </w: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ind w:firstLine="4160" w:firstLineChars="1300"/>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4160" w:firstLineChars="1300"/>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4160" w:firstLineChars="1300"/>
        <w:textAlignment w:val="auto"/>
        <w:rPr>
          <w:rFonts w:hint="eastAsia" w:asciiTheme="minorEastAsia" w:hAnsiTheme="minorEastAsia" w:eastAsiaTheme="minorEastAsia" w:cstheme="minorEastAsia"/>
          <w:sz w:val="32"/>
          <w:szCs w:val="32"/>
        </w:rPr>
      </w:pPr>
    </w:p>
    <w:p>
      <w:pPr>
        <w:spacing w:line="600" w:lineRule="exact"/>
        <w:rPr>
          <w:rFonts w:hint="eastAsia" w:ascii="新宋体" w:hAnsi="新宋体" w:eastAsia="黑体"/>
          <w:sz w:val="32"/>
          <w:szCs w:val="32"/>
          <w:lang w:eastAsia="zh-CN"/>
        </w:rPr>
      </w:pPr>
      <w:r>
        <w:rPr>
          <w:rFonts w:hint="eastAsia" w:ascii="新宋体" w:hAnsi="新宋体" w:eastAsia="黑体"/>
          <w:sz w:val="32"/>
          <w:szCs w:val="32"/>
        </w:rPr>
        <w:t>附件</w:t>
      </w:r>
      <w:r>
        <w:rPr>
          <w:rFonts w:hint="eastAsia" w:ascii="新宋体" w:hAnsi="新宋体" w:eastAsia="黑体"/>
          <w:sz w:val="32"/>
          <w:szCs w:val="32"/>
          <w:lang w:val="en-US" w:eastAsia="zh-CN"/>
        </w:rPr>
        <w:t>1</w:t>
      </w:r>
    </w:p>
    <w:p>
      <w:pPr>
        <w:pStyle w:val="5"/>
        <w:keepNext w:val="0"/>
        <w:keepLines w:val="0"/>
        <w:pageBreakBefore w:val="0"/>
        <w:widowControl w:val="0"/>
        <w:kinsoku/>
        <w:wordWrap/>
        <w:overflowPunct/>
        <w:topLinePunct w:val="0"/>
        <w:autoSpaceDE/>
        <w:autoSpaceDN/>
        <w:bidi w:val="0"/>
        <w:adjustRightInd/>
        <w:snapToGrid/>
        <w:spacing w:after="0" w:line="240" w:lineRule="auto"/>
        <w:ind w:left="0" w:leftChars="0" w:firstLine="560" w:firstLineChars="200"/>
        <w:textAlignment w:val="auto"/>
        <w:rPr>
          <w:rFonts w:hint="eastAsia" w:ascii="新宋体" w:hAnsi="新宋体" w:eastAsia="方正仿宋简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中共漯河市委党校2022年招才引智引进高层次人才应聘考生疫情防控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rFonts w:hint="eastAsia" w:ascii="方正小标宋简体" w:hAnsi="方正小标宋简体" w:eastAsia="方正小标宋简体" w:cs="方正小标宋简体"/>
          <w:sz w:val="44"/>
          <w:szCs w:val="44"/>
          <w:lang w:val="en-US" w:eastAsia="zh-CN"/>
        </w:rPr>
        <w:t>注意事项及温馨提示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有效做好中共漯河市委党校2022年招才引智引进高层次人才疫情防控工作，保障应聘考生身体健康，营造安全的应聘环境，根据《中共漯河市委党校（漯河行政学院、漯河市社会主义学院）2022年招才引智引进高层次人才笔试和试讲的通知》、《河南省人事考试参考考生疫情防控注意事项及温馨提示》和漯河市疫情防控有关要求，特就应聘考生疫情防控注意事项提示如下，请应聘考生遵照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92" w:rightChars="-44" w:firstLine="640" w:firstLineChars="200"/>
        <w:jc w:val="left"/>
        <w:textAlignment w:val="auto"/>
        <w:outlineLvl w:val="0"/>
        <w:rPr>
          <w:rFonts w:hint="default" w:ascii="Calibri" w:hAnsi="Calibri" w:eastAsia="仿宋_GB2312" w:cs="Calibri"/>
          <w:bCs/>
          <w:color w:val="333333"/>
          <w:kern w:val="0"/>
          <w:sz w:val="32"/>
          <w:szCs w:val="32"/>
          <w:lang w:val="en-US" w:eastAsia="zh-CN" w:bidi="ar"/>
        </w:rPr>
      </w:pPr>
      <w:r>
        <w:rPr>
          <w:rFonts w:ascii="黑体" w:hAnsi="宋体" w:eastAsia="黑体" w:cs="黑体"/>
          <w:color w:val="333333"/>
          <w:kern w:val="0"/>
          <w:sz w:val="32"/>
          <w:szCs w:val="32"/>
          <w:lang w:val="en-US" w:eastAsia="zh-CN" w:bidi="ar"/>
        </w:rPr>
        <w:t>一、考生</w:t>
      </w:r>
      <w:r>
        <w:rPr>
          <w:rFonts w:hint="eastAsia" w:ascii="黑体" w:hAnsi="宋体" w:eastAsia="黑体" w:cs="黑体"/>
          <w:color w:val="000000"/>
          <w:kern w:val="0"/>
          <w:sz w:val="32"/>
          <w:szCs w:val="32"/>
          <w:lang w:val="en-US" w:eastAsia="zh-CN" w:bidi="ar"/>
        </w:rPr>
        <w:t>参考的健康及相关要求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（一）健康码、场所码为绿码，通信大数据行程卡显示无异常的考生须提供开考时间前48小时内新冠肺炎病毒核酸检测阴性证明（纸质版、电子版均可）、且现场体温测量正常（＜37.3℃）、无新冠肺炎相关症状。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健康码、场所码为绿码，但通信大数据行程卡显示到达或途径中高风险地区所在城市的考生须提供开考前72小时内的两次新冠肺炎病毒核酸检测阴性证明（两次核酸检测时间间隔需超过24小时，纸质版、电子版均可）、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w:t>
      </w:r>
      <w:r>
        <w:rPr>
          <w:rFonts w:hint="default" w:ascii="CESI仿宋-GB2312" w:hAnsi="CESI仿宋-GB2312" w:eastAsia="CESI仿宋-GB2312" w:cs="CESI仿宋-GB2312"/>
          <w:sz w:val="32"/>
          <w:szCs w:val="32"/>
          <w:lang w:val="en-US" w:eastAsia="zh-CN"/>
        </w:rPr>
        <w:t>所有考生均需</w:t>
      </w:r>
      <w:r>
        <w:rPr>
          <w:rFonts w:hint="eastAsia" w:ascii="CESI仿宋-GB2312" w:hAnsi="CESI仿宋-GB2312" w:eastAsia="CESI仿宋-GB2312" w:cs="CESI仿宋-GB2312"/>
          <w:sz w:val="32"/>
          <w:szCs w:val="32"/>
          <w:lang w:val="en-US" w:eastAsia="zh-CN"/>
        </w:rPr>
        <w:t>认真阅读《中共漯河市委党校2022年招才引智引进高层次人才应聘考生疫情防控注意事项及温馨提示》，如实报告个人健康状况</w:t>
      </w:r>
      <w:r>
        <w:rPr>
          <w:rFonts w:hint="default" w:ascii="CESI仿宋-GB2312" w:hAnsi="CESI仿宋-GB2312" w:eastAsia="CESI仿宋-GB2312" w:cs="CESI仿宋-GB2312"/>
          <w:sz w:val="32"/>
          <w:szCs w:val="32"/>
          <w:lang w:val="en-US" w:eastAsia="zh-CN"/>
        </w:rPr>
        <w:t>，确保信息准确、属实，不得虚报、瞒报。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（四）所有考生均需提前下载打印、如实填写《考生健康管理信息承诺书》。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（五）在考试全程应当佩戴一次性医用外科口罩（除核验身份和试讲时按要求及时摘戴口罩外）。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（六）考生进出考点、考场时，应保持2米以上间距，有序行进，不扎堆、不聚集。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hAnsi="仿宋_GB2312" w:eastAsia="仿宋_GB2312" w:cs="仿宋_GB2312"/>
          <w:i w:val="0"/>
          <w:caps w:val="0"/>
          <w:color w:val="000000"/>
          <w:spacing w:val="0"/>
          <w:sz w:val="32"/>
          <w:szCs w:val="32"/>
          <w:u w:val="none"/>
          <w:shd w:val="clear" w:color="auto" w:fill="FFFFFF"/>
        </w:rPr>
      </w:pPr>
      <w:r>
        <w:rPr>
          <w:rFonts w:hint="eastAsia" w:ascii="CESI仿宋-GB2312" w:hAnsi="CESI仿宋-GB2312" w:eastAsia="CESI仿宋-GB2312" w:cs="CESI仿宋-GB2312"/>
          <w:sz w:val="32"/>
          <w:szCs w:val="32"/>
          <w:lang w:val="en-US" w:eastAsia="zh-CN"/>
        </w:rPr>
        <w:t>（七）</w:t>
      </w:r>
      <w:r>
        <w:rPr>
          <w:rFonts w:hint="eastAsia" w:ascii="仿宋_GB2312" w:hAnsi="仿宋_GB2312" w:eastAsia="仿宋_GB2312" w:cs="仿宋_GB2312"/>
          <w:i w:val="0"/>
          <w:caps w:val="0"/>
          <w:color w:val="000000"/>
          <w:spacing w:val="0"/>
          <w:sz w:val="32"/>
          <w:szCs w:val="32"/>
          <w:u w:val="none"/>
          <w:shd w:val="clear" w:color="auto" w:fill="FFFFFF"/>
        </w:rPr>
        <w:t>凡违反疫情防控有关规定，隐瞒、虚报旅居史、健康状况等疫情防控重要信息的，取消其应聘资格</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rPr>
        <w:t>造成不良后果的，将依法依规严肃追责。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92" w:rightChars="-44" w:firstLine="640" w:firstLineChars="200"/>
        <w:jc w:val="left"/>
        <w:textAlignment w:val="auto"/>
        <w:outlineLvl w:val="0"/>
      </w:pPr>
      <w:r>
        <w:rPr>
          <w:rFonts w:hint="eastAsia" w:ascii="黑体" w:hAnsi="宋体" w:eastAsia="黑体" w:cs="黑体"/>
          <w:color w:val="333333"/>
          <w:kern w:val="0"/>
          <w:sz w:val="32"/>
          <w:szCs w:val="32"/>
          <w:lang w:val="en-US" w:eastAsia="zh-CN" w:bidi="ar"/>
        </w:rPr>
        <w:t>二、不得参加考试的情形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（一）健康码、场所码为黄码或红码，通信大数据行程卡显示有异常的；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不能提供开考时间前48小时内新冠肺炎病毒核酸检测阴性证明的；通信大数据行程卡显示到达或途径发生疫情城市但不能提供开考时间前72小时内两次新冠肺炎病毒核酸检测阴性证明（两次核酸检测时间间隔需超过24小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（三）不能提供《考生健康管理信息承诺书》的；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（五）考前被判定为新冠病毒感染者的密切接触者、密接的密接（次密切接触者）且仍处于隔离医学观察期的；入境后仍处于隔离医学观察期和居家健康监测期的；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（七）考前7天内有国内中高风险区域旅居史的；考前3天内有国内低风险区域（中高风险地区所在县、区）旅居史的；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（八）其他特殊情形经由专业医务人员评估判断不得参考的。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0"/>
      </w:pPr>
      <w:r>
        <w:rPr>
          <w:rFonts w:hint="eastAsia" w:ascii="黑体" w:hAnsi="宋体" w:eastAsia="黑体" w:cs="黑体"/>
          <w:color w:val="333333"/>
          <w:kern w:val="0"/>
          <w:sz w:val="32"/>
          <w:szCs w:val="32"/>
          <w:lang w:val="en-US" w:eastAsia="zh-CN" w:bidi="ar"/>
        </w:rPr>
        <w:t>三、温馨提示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（一）请广大考生提前做好自我健康管理，通过微信小程序“国家政务服务平台”或支付宝小程序“豫事办”申领本人防疫健康码和通信大数据行程卡，并持续关注健康码和通信大数据行程卡状态</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w:t>
      </w:r>
      <w:r>
        <w:rPr>
          <w:rFonts w:hint="eastAsia" w:ascii="方正仿宋简体" w:eastAsia="方正仿宋简体" w:cs="方正仿宋简体"/>
          <w:sz w:val="32"/>
          <w:szCs w:val="32"/>
          <w:shd w:val="clear" w:color="auto" w:fill="FFFFFF"/>
          <w:lang w:bidi="ar-SA"/>
        </w:rPr>
        <w:t>考生可通过“漯河发布”“漯河市卫健委”</w:t>
      </w:r>
      <w:r>
        <w:rPr>
          <w:rFonts w:hint="eastAsia" w:ascii="方正仿宋简体" w:eastAsia="方正仿宋简体" w:cs="方正仿宋简体"/>
          <w:sz w:val="32"/>
          <w:szCs w:val="32"/>
          <w:shd w:val="clear" w:color="auto" w:fill="FFFFFF"/>
          <w:lang w:eastAsia="zh-CN" w:bidi="ar-SA"/>
        </w:rPr>
        <w:t>等官方</w:t>
      </w:r>
      <w:r>
        <w:rPr>
          <w:rFonts w:hint="eastAsia" w:ascii="方正仿宋简体" w:eastAsia="方正仿宋简体" w:cs="方正仿宋简体"/>
          <w:sz w:val="32"/>
          <w:szCs w:val="32"/>
          <w:shd w:val="clear" w:color="auto" w:fill="FFFFFF"/>
          <w:lang w:bidi="ar-SA"/>
        </w:rPr>
        <w:t>微信公众号查询漯河市新冠肺炎疫情防控指挥部办公室最新发布的疫情防控措施，落实漯河市常态化核酸检测措施，并严格执行。</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eastAsia" w:ascii="方正仿宋简体" w:eastAsia="方正仿宋简体" w:cs="方正仿宋简体"/>
          <w:sz w:val="32"/>
          <w:szCs w:val="32"/>
          <w:shd w:val="clear" w:color="auto" w:fill="FFFFFF"/>
          <w:lang w:bidi="ar-SA"/>
        </w:rPr>
      </w:pPr>
      <w:r>
        <w:rPr>
          <w:rFonts w:hint="eastAsia" w:ascii="方正仿宋简体" w:eastAsia="方正仿宋简体" w:cs="方正仿宋简体"/>
          <w:sz w:val="32"/>
          <w:szCs w:val="32"/>
          <w:shd w:val="clear" w:color="auto" w:fill="FFFFFF"/>
          <w:lang w:eastAsia="zh-CN" w:bidi="ar-SA"/>
        </w:rPr>
        <w:t>（三）市外来（返）漯考生须</w:t>
      </w:r>
      <w:r>
        <w:rPr>
          <w:rFonts w:hint="eastAsia" w:ascii="方正仿宋简体" w:eastAsia="方正仿宋简体" w:cs="方正仿宋简体"/>
          <w:sz w:val="32"/>
          <w:szCs w:val="32"/>
          <w:shd w:val="clear" w:color="auto" w:fill="FFFFFF"/>
          <w:lang w:bidi="ar-SA"/>
        </w:rPr>
        <w:t>提前3天通过手机在“支付宝APP—豫事办—来（返）豫报备—社区报备”入口、“关注健康漯河微信公众号—疫情防控—返漯登记”或“关注漯河发布微信公众号—来漯报备”等方式</w:t>
      </w:r>
      <w:r>
        <w:rPr>
          <w:rFonts w:hint="eastAsia" w:ascii="方正仿宋简体" w:eastAsia="方正仿宋简体" w:cs="方正仿宋简体"/>
          <w:sz w:val="32"/>
          <w:szCs w:val="32"/>
          <w:shd w:val="clear" w:color="auto" w:fill="FFFFFF"/>
          <w:lang w:eastAsia="zh-CN" w:bidi="ar-SA"/>
        </w:rPr>
        <w:t>，向居住地（以及宾馆或暂住地）所在村（社区）</w:t>
      </w:r>
      <w:r>
        <w:rPr>
          <w:rFonts w:hint="eastAsia" w:ascii="方正仿宋简体" w:eastAsia="方正仿宋简体" w:cs="方正仿宋简体"/>
          <w:sz w:val="32"/>
          <w:szCs w:val="32"/>
          <w:shd w:val="clear" w:color="auto" w:fill="FFFFFF"/>
          <w:lang w:bidi="ar-SA"/>
        </w:rPr>
        <w:t>进行报备。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四</w:t>
      </w:r>
      <w:r>
        <w:rPr>
          <w:rFonts w:hint="default" w:ascii="CESI仿宋-GB2312" w:hAnsi="CESI仿宋-GB2312" w:eastAsia="CESI仿宋-GB2312" w:cs="CESI仿宋-GB2312"/>
          <w:sz w:val="32"/>
          <w:szCs w:val="32"/>
          <w:lang w:val="en-US" w:eastAsia="zh-CN"/>
        </w:rPr>
        <w:t>）考生赴考时如乘坐公共交通工具，需要全程佩戴口罩，可佩戴一次性手套，并做好手部卫生，同时注意社交距离。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（五）考试前，考生要合理安排时间。进入考点前，应当主动出示本人防疫健康码信息（绿码）和通信大数据行程卡，并按要求主动接受体温测量。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）请考生注意个人防护，自备一次性医用外科口罩，除核验身份</w:t>
      </w:r>
      <w:r>
        <w:rPr>
          <w:rFonts w:hint="eastAsia" w:ascii="CESI仿宋-GB2312" w:hAnsi="CESI仿宋-GB2312" w:eastAsia="CESI仿宋-GB2312" w:cs="CESI仿宋-GB2312"/>
          <w:sz w:val="32"/>
          <w:szCs w:val="32"/>
          <w:lang w:val="en-US" w:eastAsia="zh-CN"/>
        </w:rPr>
        <w:t>和试讲</w:t>
      </w:r>
      <w:r>
        <w:rPr>
          <w:rFonts w:hint="default" w:ascii="CESI仿宋-GB2312" w:hAnsi="CESI仿宋-GB2312" w:eastAsia="CESI仿宋-GB2312" w:cs="CESI仿宋-GB2312"/>
          <w:sz w:val="32"/>
          <w:szCs w:val="32"/>
          <w:lang w:val="en-US" w:eastAsia="zh-CN"/>
        </w:rPr>
        <w:t>时按要求及时摘戴口罩外，进出考点、参加</w:t>
      </w:r>
      <w:r>
        <w:rPr>
          <w:rFonts w:hint="eastAsia" w:ascii="CESI仿宋-GB2312" w:hAnsi="CESI仿宋-GB2312" w:eastAsia="CESI仿宋-GB2312" w:cs="CESI仿宋-GB2312"/>
          <w:sz w:val="32"/>
          <w:szCs w:val="32"/>
          <w:lang w:val="en-US" w:eastAsia="zh-CN"/>
        </w:rPr>
        <w:t>笔试</w:t>
      </w:r>
      <w:r>
        <w:rPr>
          <w:rFonts w:hint="default" w:ascii="CESI仿宋-GB2312" w:hAnsi="CESI仿宋-GB2312" w:eastAsia="CESI仿宋-GB2312" w:cs="CESI仿宋-GB2312"/>
          <w:sz w:val="32"/>
          <w:szCs w:val="32"/>
          <w:lang w:val="en-US" w:eastAsia="zh-CN"/>
        </w:rPr>
        <w:t>应当全程佩戴口罩。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（八）</w:t>
      </w:r>
      <w:r>
        <w:rPr>
          <w:rFonts w:hint="default" w:ascii="CESI仿宋-GB2312" w:hAnsi="CESI仿宋-GB2312" w:eastAsia="CESI仿宋-GB2312" w:cs="CESI仿宋-GB2312"/>
          <w:sz w:val="32"/>
          <w:szCs w:val="32"/>
          <w:lang w:val="en-US" w:eastAsia="zh-CN"/>
        </w:rPr>
        <w:t>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（九）考生应在无禁忌的情况下按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应接尽接</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原则，提前完成新冠肺炎疫苗接种。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十</w:t>
      </w:r>
      <w:r>
        <w:rPr>
          <w:rFonts w:hint="default" w:ascii="CESI仿宋-GB2312" w:hAnsi="CESI仿宋-GB2312" w:eastAsia="CESI仿宋-GB2312" w:cs="CESI仿宋-GB2312"/>
          <w:sz w:val="32"/>
          <w:szCs w:val="32"/>
          <w:lang w:val="en-US" w:eastAsia="zh-CN"/>
        </w:rPr>
        <w:t>）凡隐瞒或谎报旅居史、接触史、健康状况等疫情防控重点信息，不配合工作人员进行防疫检测、询问等造成不良后果的，取消考试资格，终止考试；如有违法情况，将依法追究法律责任。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十一</w:t>
      </w:r>
      <w:r>
        <w:rPr>
          <w:rFonts w:hint="default" w:ascii="CESI仿宋-GB2312" w:hAnsi="CESI仿宋-GB2312" w:eastAsia="CESI仿宋-GB2312" w:cs="CESI仿宋-GB2312"/>
          <w:sz w:val="32"/>
          <w:szCs w:val="32"/>
          <w:lang w:val="en-US" w:eastAsia="zh-CN"/>
        </w:rPr>
        <w:t>）在考试组织实施过程中，本须知中未提及的有关疫情防控的其他事宜按照国家和省</w:t>
      </w:r>
      <w:r>
        <w:rPr>
          <w:rFonts w:hint="eastAsia" w:ascii="CESI仿宋-GB2312" w:hAnsi="CESI仿宋-GB2312" w:eastAsia="CESI仿宋-GB2312" w:cs="CESI仿宋-GB2312"/>
          <w:sz w:val="32"/>
          <w:szCs w:val="32"/>
          <w:lang w:val="en-US" w:eastAsia="zh-CN"/>
        </w:rPr>
        <w:t>、市</w:t>
      </w:r>
      <w:r>
        <w:rPr>
          <w:rFonts w:hint="default" w:ascii="CESI仿宋-GB2312" w:hAnsi="CESI仿宋-GB2312" w:eastAsia="CESI仿宋-GB2312" w:cs="CESI仿宋-GB2312"/>
          <w:sz w:val="32"/>
          <w:szCs w:val="32"/>
          <w:lang w:val="en-US" w:eastAsia="zh-CN"/>
        </w:rPr>
        <w:t>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新冠肺炎疫情防控工作将根据疫情形势适时调整，请广大考生持续关注漯河市疫情防控政策、中共漯河市委党校网站通知，严格按照防疫要求，提前做好考前准备工作。</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咨询电话：0395-3115015（正常办公时间使用）</w:t>
      </w:r>
    </w:p>
    <w:p>
      <w:pPr>
        <w:keepNext w:val="0"/>
        <w:keepLines w:val="0"/>
        <w:pageBreakBefore w:val="0"/>
        <w:widowControl w:val="0"/>
        <w:kinsoku/>
        <w:wordWrap/>
        <w:overflowPunct/>
        <w:topLinePunct w:val="0"/>
        <w:autoSpaceDE/>
        <w:autoSpaceDN/>
        <w:bidi w:val="0"/>
        <w:adjustRightInd/>
        <w:snapToGrid/>
        <w:spacing w:line="480" w:lineRule="exact"/>
        <w:ind w:firstLine="4160" w:firstLineChars="1300"/>
        <w:textAlignment w:val="auto"/>
        <w:rPr>
          <w:rFonts w:hint="eastAsia" w:asciiTheme="minorEastAsia" w:hAnsiTheme="minorEastAsia" w:eastAsiaTheme="minorEastAsia" w:cstheme="minorEastAsia"/>
          <w:sz w:val="32"/>
          <w:szCs w:val="32"/>
        </w:rPr>
      </w:pPr>
    </w:p>
    <w:p>
      <w:pPr>
        <w:pStyle w:val="2"/>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pStyle w:val="2"/>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pStyle w:val="2"/>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pStyle w:val="2"/>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pStyle w:val="2"/>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pStyle w:val="2"/>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pStyle w:val="2"/>
        <w:rPr>
          <w:rFonts w:hint="eastAsia" w:asciiTheme="minorEastAsia" w:hAnsiTheme="minorEastAsia" w:eastAsiaTheme="minorEastAsia" w:cstheme="minorEastAsia"/>
          <w:sz w:val="32"/>
          <w:szCs w:val="32"/>
        </w:rPr>
      </w:pPr>
    </w:p>
    <w:p>
      <w:pPr>
        <w:pStyle w:val="2"/>
        <w:ind w:left="0" w:leftChars="0" w:firstLine="0" w:firstLineChars="0"/>
        <w:rPr>
          <w:rFonts w:hint="eastAsia" w:asciiTheme="minorEastAsia" w:hAnsiTheme="minorEastAsia" w:eastAsiaTheme="minorEastAsia" w:cstheme="minorEastAsia"/>
          <w:sz w:val="32"/>
          <w:szCs w:val="32"/>
        </w:rPr>
      </w:pPr>
    </w:p>
    <w:p>
      <w:pPr>
        <w:snapToGrid w:val="0"/>
        <w:spacing w:line="540" w:lineRule="exact"/>
        <w:jc w:val="both"/>
        <w:outlineLvl w:val="0"/>
        <w:rPr>
          <w:rFonts w:hint="eastAsia" w:ascii="黑体" w:hAnsi="黑体" w:eastAsia="黑体" w:cs="黑体"/>
          <w:sz w:val="32"/>
          <w:szCs w:val="32"/>
          <w:lang w:eastAsia="zh-CN"/>
        </w:rPr>
      </w:pPr>
    </w:p>
    <w:p>
      <w:pPr>
        <w:snapToGrid w:val="0"/>
        <w:spacing w:line="540" w:lineRule="exact"/>
        <w:jc w:val="both"/>
        <w:outlineLvl w:val="0"/>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napToGrid w:val="0"/>
        <w:spacing w:line="540" w:lineRule="exact"/>
        <w:jc w:val="center"/>
        <w:outlineLvl w:val="0"/>
        <w:rPr>
          <w:rFonts w:hint="eastAsia" w:ascii="黑体" w:hAnsi="黑体" w:eastAsia="黑体" w:cs="黑体"/>
          <w:sz w:val="44"/>
          <w:szCs w:val="44"/>
          <w:lang w:eastAsia="zh-CN"/>
        </w:rPr>
      </w:pPr>
      <w:r>
        <w:rPr>
          <w:rFonts w:hint="eastAsia" w:ascii="黑体" w:hAnsi="黑体" w:eastAsia="黑体" w:cs="黑体"/>
          <w:sz w:val="44"/>
          <w:szCs w:val="44"/>
        </w:rPr>
        <w:t>考生健康管理信息承诺</w:t>
      </w:r>
      <w:r>
        <w:rPr>
          <w:rFonts w:hint="eastAsia" w:ascii="黑体" w:hAnsi="黑体" w:eastAsia="黑体" w:cs="黑体"/>
          <w:sz w:val="44"/>
          <w:szCs w:val="44"/>
          <w:lang w:eastAsia="zh-CN"/>
        </w:rPr>
        <w:t>书</w:t>
      </w:r>
    </w:p>
    <w:tbl>
      <w:tblPr>
        <w:tblStyle w:val="6"/>
        <w:tblpPr w:leftFromText="180" w:rightFromText="180" w:vertAnchor="text" w:horzAnchor="page" w:tblpX="1117" w:tblpY="248"/>
        <w:tblOverlap w:val="never"/>
        <w:tblW w:w="10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307"/>
        <w:gridCol w:w="776"/>
        <w:gridCol w:w="374"/>
        <w:gridCol w:w="208"/>
        <w:gridCol w:w="901"/>
        <w:gridCol w:w="232"/>
        <w:gridCol w:w="1239"/>
        <w:gridCol w:w="496"/>
        <w:gridCol w:w="772"/>
        <w:gridCol w:w="230"/>
        <w:gridCol w:w="397"/>
        <w:gridCol w:w="746"/>
        <w:gridCol w:w="264"/>
        <w:gridCol w:w="230"/>
        <w:gridCol w:w="642"/>
        <w:gridCol w:w="685"/>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27" w:type="dxa"/>
            <w:gridSpan w:val="2"/>
            <w:noWrap w:val="0"/>
            <w:vAlign w:val="center"/>
          </w:tcPr>
          <w:p>
            <w:pPr>
              <w:overflowPunct w:val="0"/>
              <w:spacing w:line="240" w:lineRule="exact"/>
              <w:jc w:val="center"/>
              <w:rPr>
                <w:rFonts w:hint="eastAsia" w:ascii="黑体" w:hAnsi="黑体" w:eastAsia="黑体"/>
                <w:sz w:val="21"/>
                <w:szCs w:val="21"/>
                <w:lang w:eastAsia="zh-CN"/>
              </w:rPr>
            </w:pPr>
            <w:r>
              <w:rPr>
                <w:rFonts w:hint="eastAsia" w:ascii="黑体" w:hAnsi="黑体" w:eastAsia="黑体"/>
                <w:sz w:val="21"/>
                <w:szCs w:val="21"/>
                <w:lang w:eastAsia="zh-CN"/>
              </w:rPr>
              <w:t>考点名称</w:t>
            </w:r>
          </w:p>
        </w:tc>
        <w:tc>
          <w:tcPr>
            <w:tcW w:w="2259" w:type="dxa"/>
            <w:gridSpan w:val="4"/>
            <w:noWrap w:val="0"/>
            <w:vAlign w:val="center"/>
          </w:tcPr>
          <w:p>
            <w:pPr>
              <w:overflowPunct w:val="0"/>
              <w:spacing w:line="240" w:lineRule="exact"/>
              <w:jc w:val="center"/>
              <w:rPr>
                <w:rFonts w:hint="eastAsia" w:ascii="黑体" w:hAnsi="黑体" w:eastAsia="黑体"/>
                <w:sz w:val="21"/>
                <w:szCs w:val="21"/>
                <w:lang w:eastAsia="zh-CN"/>
              </w:rPr>
            </w:pPr>
            <w:r>
              <w:rPr>
                <w:rFonts w:hint="eastAsia" w:ascii="黑体" w:hAnsi="黑体" w:eastAsia="黑体"/>
                <w:sz w:val="21"/>
                <w:szCs w:val="21"/>
                <w:lang w:eastAsia="zh-CN"/>
              </w:rPr>
              <w:t>中共漯河市委党校</w:t>
            </w:r>
          </w:p>
        </w:tc>
        <w:tc>
          <w:tcPr>
            <w:tcW w:w="1967" w:type="dxa"/>
            <w:gridSpan w:val="3"/>
            <w:noWrap w:val="0"/>
            <w:vAlign w:val="center"/>
          </w:tcPr>
          <w:p>
            <w:pPr>
              <w:overflowPunct w:val="0"/>
              <w:spacing w:line="240" w:lineRule="exact"/>
              <w:jc w:val="center"/>
              <w:rPr>
                <w:rFonts w:hint="eastAsia" w:ascii="黑体" w:hAnsi="黑体" w:eastAsia="黑体"/>
                <w:sz w:val="21"/>
                <w:szCs w:val="21"/>
                <w:lang w:eastAsia="zh-CN"/>
              </w:rPr>
            </w:pPr>
          </w:p>
        </w:tc>
        <w:tc>
          <w:tcPr>
            <w:tcW w:w="4715" w:type="dxa"/>
            <w:gridSpan w:val="9"/>
            <w:noWrap w:val="0"/>
            <w:vAlign w:val="center"/>
          </w:tcPr>
          <w:p>
            <w:pPr>
              <w:overflowPunct w:val="0"/>
              <w:spacing w:line="24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27" w:type="dxa"/>
            <w:gridSpan w:val="2"/>
            <w:noWrap w:val="0"/>
            <w:vAlign w:val="center"/>
          </w:tcPr>
          <w:p>
            <w:pPr>
              <w:overflowPunct w:val="0"/>
              <w:spacing w:line="240" w:lineRule="exact"/>
              <w:jc w:val="center"/>
              <w:rPr>
                <w:rFonts w:hint="eastAsia" w:ascii="黑体" w:hAnsi="黑体" w:eastAsia="黑体"/>
                <w:sz w:val="21"/>
                <w:szCs w:val="21"/>
                <w:lang w:eastAsia="zh-CN"/>
              </w:rPr>
            </w:pPr>
            <w:r>
              <w:rPr>
                <w:rFonts w:hint="eastAsia" w:ascii="黑体" w:hAnsi="黑体" w:eastAsia="黑体"/>
                <w:sz w:val="21"/>
                <w:szCs w:val="21"/>
                <w:lang w:eastAsia="zh-CN"/>
              </w:rPr>
              <w:t>姓</w:t>
            </w:r>
            <w:r>
              <w:rPr>
                <w:rFonts w:hint="eastAsia" w:ascii="黑体" w:hAnsi="黑体" w:eastAsia="黑体"/>
                <w:sz w:val="21"/>
                <w:szCs w:val="21"/>
                <w:lang w:val="en-US" w:eastAsia="zh-CN"/>
              </w:rPr>
              <w:t xml:space="preserve">   </w:t>
            </w:r>
            <w:r>
              <w:rPr>
                <w:rFonts w:hint="eastAsia" w:ascii="黑体" w:hAnsi="黑体" w:eastAsia="黑体"/>
                <w:sz w:val="21"/>
                <w:szCs w:val="21"/>
                <w:lang w:eastAsia="zh-CN"/>
              </w:rPr>
              <w:t>名</w:t>
            </w:r>
          </w:p>
        </w:tc>
        <w:tc>
          <w:tcPr>
            <w:tcW w:w="1150" w:type="dxa"/>
            <w:gridSpan w:val="2"/>
            <w:noWrap w:val="0"/>
            <w:vAlign w:val="center"/>
          </w:tcPr>
          <w:p>
            <w:pPr>
              <w:overflowPunct w:val="0"/>
              <w:spacing w:line="240" w:lineRule="exact"/>
              <w:jc w:val="center"/>
              <w:rPr>
                <w:rFonts w:ascii="黑体" w:hAnsi="黑体" w:eastAsia="黑体"/>
                <w:sz w:val="21"/>
                <w:szCs w:val="21"/>
              </w:rPr>
            </w:pPr>
          </w:p>
        </w:tc>
        <w:tc>
          <w:tcPr>
            <w:tcW w:w="1109" w:type="dxa"/>
            <w:gridSpan w:val="2"/>
            <w:noWrap w:val="0"/>
            <w:vAlign w:val="center"/>
          </w:tcPr>
          <w:p>
            <w:pPr>
              <w:overflowPunct w:val="0"/>
              <w:spacing w:line="240" w:lineRule="exact"/>
              <w:jc w:val="center"/>
              <w:rPr>
                <w:rFonts w:ascii="黑体" w:hAnsi="黑体" w:eastAsia="黑体"/>
                <w:sz w:val="21"/>
                <w:szCs w:val="21"/>
              </w:rPr>
            </w:pPr>
            <w:r>
              <w:rPr>
                <w:rFonts w:hint="eastAsia" w:ascii="黑体" w:hAnsi="黑体" w:eastAsia="黑体"/>
                <w:sz w:val="21"/>
                <w:szCs w:val="21"/>
                <w:lang w:eastAsia="zh-CN"/>
              </w:rPr>
              <w:t>身份证号</w:t>
            </w:r>
          </w:p>
        </w:tc>
        <w:tc>
          <w:tcPr>
            <w:tcW w:w="2969" w:type="dxa"/>
            <w:gridSpan w:val="5"/>
            <w:noWrap w:val="0"/>
            <w:vAlign w:val="center"/>
          </w:tcPr>
          <w:p>
            <w:pPr>
              <w:overflowPunct w:val="0"/>
              <w:spacing w:line="240" w:lineRule="exact"/>
              <w:jc w:val="center"/>
              <w:rPr>
                <w:rFonts w:ascii="黑体" w:hAnsi="黑体" w:eastAsia="黑体"/>
                <w:sz w:val="21"/>
                <w:szCs w:val="21"/>
              </w:rPr>
            </w:pPr>
          </w:p>
        </w:tc>
        <w:tc>
          <w:tcPr>
            <w:tcW w:w="1143" w:type="dxa"/>
            <w:gridSpan w:val="2"/>
            <w:noWrap w:val="0"/>
            <w:vAlign w:val="center"/>
          </w:tcPr>
          <w:p>
            <w:pPr>
              <w:overflowPunct w:val="0"/>
              <w:spacing w:line="240" w:lineRule="exact"/>
              <w:jc w:val="center"/>
              <w:rPr>
                <w:rFonts w:ascii="黑体" w:hAnsi="黑体" w:eastAsia="黑体"/>
                <w:sz w:val="21"/>
                <w:szCs w:val="21"/>
              </w:rPr>
            </w:pPr>
            <w:r>
              <w:rPr>
                <w:rFonts w:hint="eastAsia" w:ascii="黑体" w:hAnsi="黑体" w:eastAsia="黑体"/>
                <w:sz w:val="21"/>
                <w:szCs w:val="21"/>
                <w:lang w:eastAsia="zh-CN"/>
              </w:rPr>
              <w:t>联系电话</w:t>
            </w:r>
          </w:p>
        </w:tc>
        <w:tc>
          <w:tcPr>
            <w:tcW w:w="2570" w:type="dxa"/>
            <w:gridSpan w:val="5"/>
            <w:noWrap w:val="0"/>
            <w:vAlign w:val="center"/>
          </w:tcPr>
          <w:p>
            <w:pPr>
              <w:overflowPunct w:val="0"/>
              <w:spacing w:line="24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0068" w:type="dxa"/>
            <w:gridSpan w:val="18"/>
            <w:noWrap w:val="0"/>
            <w:vAlign w:val="center"/>
          </w:tcPr>
          <w:p>
            <w:pPr>
              <w:overflowPunct w:val="0"/>
              <w:spacing w:line="240" w:lineRule="exact"/>
              <w:jc w:val="center"/>
              <w:rPr>
                <w:rFonts w:ascii="黑体" w:hAnsi="黑体" w:eastAsia="黑体"/>
                <w:sz w:val="21"/>
                <w:szCs w:val="21"/>
              </w:rPr>
            </w:pPr>
            <w:r>
              <w:rPr>
                <w:rFonts w:ascii="黑体" w:hAnsi="黑体" w:eastAsia="黑体"/>
                <w:sz w:val="24"/>
                <w:szCs w:val="24"/>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1903" w:type="dxa"/>
            <w:gridSpan w:val="3"/>
            <w:noWrap w:val="0"/>
            <w:vAlign w:val="top"/>
          </w:tcPr>
          <w:p>
            <w:pPr>
              <w:overflowPunct w:val="0"/>
              <w:spacing w:line="240" w:lineRule="exact"/>
              <w:jc w:val="center"/>
              <w:rPr>
                <w:rFonts w:hint="eastAsia" w:eastAsia="黑体"/>
                <w:sz w:val="21"/>
                <w:szCs w:val="21"/>
              </w:rPr>
            </w:pPr>
          </w:p>
          <w:p>
            <w:pPr>
              <w:overflowPunct w:val="0"/>
              <w:spacing w:line="240" w:lineRule="exact"/>
              <w:jc w:val="center"/>
              <w:rPr>
                <w:rFonts w:eastAsia="黑体"/>
                <w:sz w:val="21"/>
                <w:szCs w:val="21"/>
              </w:rPr>
            </w:pPr>
            <w:r>
              <w:rPr>
                <w:rFonts w:hint="eastAsia" w:eastAsia="黑体"/>
                <w:color w:val="auto"/>
                <w:sz w:val="21"/>
                <w:szCs w:val="21"/>
                <w:lang w:val="en-US" w:eastAsia="zh-CN"/>
              </w:rPr>
              <w:t>考前7天内有</w:t>
            </w:r>
            <w:r>
              <w:rPr>
                <w:rFonts w:eastAsia="黑体"/>
                <w:sz w:val="21"/>
                <w:szCs w:val="21"/>
              </w:rPr>
              <w:t>国内中、高风险</w:t>
            </w:r>
            <w:r>
              <w:rPr>
                <w:rFonts w:hint="eastAsia" w:eastAsia="黑体"/>
                <w:sz w:val="21"/>
                <w:szCs w:val="21"/>
                <w:lang w:eastAsia="zh-CN"/>
              </w:rPr>
              <w:t>区域</w:t>
            </w:r>
            <w:r>
              <w:rPr>
                <w:rFonts w:eastAsia="黑体"/>
                <w:sz w:val="21"/>
                <w:szCs w:val="21"/>
              </w:rPr>
              <w:t>旅居</w:t>
            </w:r>
            <w:r>
              <w:rPr>
                <w:rFonts w:hint="eastAsia" w:eastAsia="黑体"/>
                <w:sz w:val="21"/>
                <w:szCs w:val="21"/>
                <w:lang w:eastAsia="zh-CN"/>
              </w:rPr>
              <w:t>史的</w:t>
            </w:r>
            <w:r>
              <w:rPr>
                <w:rFonts w:eastAsia="黑体"/>
                <w:sz w:val="21"/>
                <w:szCs w:val="21"/>
              </w:rPr>
              <w:t>(未到过的此栏空白)</w:t>
            </w:r>
          </w:p>
        </w:tc>
        <w:tc>
          <w:tcPr>
            <w:tcW w:w="1483" w:type="dxa"/>
            <w:gridSpan w:val="3"/>
            <w:noWrap w:val="0"/>
            <w:vAlign w:val="center"/>
          </w:tcPr>
          <w:p>
            <w:pPr>
              <w:overflowPunct w:val="0"/>
              <w:spacing w:line="240" w:lineRule="exact"/>
              <w:jc w:val="center"/>
              <w:rPr>
                <w:rFonts w:eastAsia="黑体"/>
                <w:sz w:val="21"/>
                <w:szCs w:val="21"/>
              </w:rPr>
            </w:pPr>
            <w:r>
              <w:rPr>
                <w:rFonts w:hint="eastAsia" w:eastAsia="黑体"/>
                <w:color w:val="auto"/>
                <w:sz w:val="21"/>
                <w:szCs w:val="21"/>
                <w:lang w:val="en-US" w:eastAsia="zh-CN"/>
              </w:rPr>
              <w:t>考前10天内有</w:t>
            </w:r>
            <w:r>
              <w:rPr>
                <w:rFonts w:eastAsia="黑体"/>
                <w:sz w:val="21"/>
                <w:szCs w:val="21"/>
              </w:rPr>
              <w:t>境外</w:t>
            </w:r>
            <w:r>
              <w:rPr>
                <w:rFonts w:hint="eastAsia" w:eastAsia="黑体"/>
                <w:sz w:val="21"/>
                <w:szCs w:val="21"/>
                <w:lang w:eastAsia="zh-CN"/>
              </w:rPr>
              <w:t>或港澳台</w:t>
            </w:r>
            <w:r>
              <w:rPr>
                <w:rFonts w:eastAsia="黑体"/>
                <w:sz w:val="21"/>
                <w:szCs w:val="21"/>
              </w:rPr>
              <w:t>旅居</w:t>
            </w:r>
            <w:r>
              <w:rPr>
                <w:rFonts w:hint="eastAsia" w:eastAsia="黑体"/>
                <w:sz w:val="21"/>
                <w:szCs w:val="21"/>
                <w:lang w:eastAsia="zh-CN"/>
              </w:rPr>
              <w:t>史</w:t>
            </w:r>
            <w:r>
              <w:rPr>
                <w:rFonts w:hint="default" w:eastAsia="黑体"/>
                <w:sz w:val="21"/>
                <w:szCs w:val="21"/>
                <w:lang w:val="en" w:eastAsia="zh-CN"/>
              </w:rPr>
              <w:t>的</w:t>
            </w:r>
            <w:r>
              <w:rPr>
                <w:rFonts w:eastAsia="黑体"/>
                <w:sz w:val="21"/>
                <w:szCs w:val="21"/>
              </w:rPr>
              <w:t>(未到过的此栏空白)</w:t>
            </w:r>
          </w:p>
        </w:tc>
        <w:tc>
          <w:tcPr>
            <w:tcW w:w="1471" w:type="dxa"/>
            <w:gridSpan w:val="2"/>
            <w:noWrap w:val="0"/>
            <w:vAlign w:val="center"/>
          </w:tcPr>
          <w:p>
            <w:pPr>
              <w:overflowPunct w:val="0"/>
              <w:spacing w:line="240" w:lineRule="exact"/>
              <w:jc w:val="center"/>
              <w:rPr>
                <w:rFonts w:eastAsia="黑体"/>
                <w:sz w:val="21"/>
                <w:szCs w:val="21"/>
              </w:rPr>
            </w:pPr>
            <w:r>
              <w:rPr>
                <w:rFonts w:hint="eastAsia" w:eastAsia="黑体"/>
                <w:color w:val="auto"/>
                <w:sz w:val="21"/>
                <w:szCs w:val="21"/>
                <w:lang w:val="en-US" w:eastAsia="zh-CN"/>
              </w:rPr>
              <w:t>考前3天内</w:t>
            </w:r>
            <w:r>
              <w:rPr>
                <w:rFonts w:hint="eastAsia" w:eastAsia="黑体"/>
                <w:sz w:val="21"/>
                <w:szCs w:val="21"/>
                <w:lang w:eastAsia="zh-CN"/>
              </w:rPr>
              <w:t>有低风险区域旅居史的（未到过的此栏空白）</w:t>
            </w:r>
          </w:p>
        </w:tc>
        <w:tc>
          <w:tcPr>
            <w:tcW w:w="1895" w:type="dxa"/>
            <w:gridSpan w:val="4"/>
            <w:noWrap w:val="0"/>
            <w:tcMar>
              <w:top w:w="0" w:type="dxa"/>
              <w:left w:w="85" w:type="dxa"/>
              <w:bottom w:w="0" w:type="dxa"/>
              <w:right w:w="28" w:type="dxa"/>
            </w:tcMar>
            <w:vAlign w:val="center"/>
          </w:tcPr>
          <w:p>
            <w:pPr>
              <w:overflowPunct w:val="0"/>
              <w:spacing w:line="240" w:lineRule="exact"/>
              <w:jc w:val="center"/>
              <w:rPr>
                <w:rFonts w:hint="eastAsia" w:eastAsia="黑体"/>
                <w:sz w:val="21"/>
                <w:szCs w:val="21"/>
                <w:lang w:eastAsia="zh-CN"/>
              </w:rPr>
            </w:pPr>
            <w:r>
              <w:rPr>
                <w:rFonts w:eastAsia="黑体"/>
                <w:sz w:val="21"/>
                <w:szCs w:val="21"/>
              </w:rPr>
              <w:t>属于下列哪种情形：①确诊病例②无症状感染者③疑似病例④密切接触者⑤密切接触者的密切接触者</w:t>
            </w:r>
            <w:r>
              <w:rPr>
                <w:rFonts w:hint="eastAsia" w:eastAsia="黑体"/>
                <w:sz w:val="21"/>
                <w:szCs w:val="21"/>
                <w:lang w:eastAsia="zh-CN"/>
              </w:rPr>
              <w:t>（</w:t>
            </w:r>
            <w:r>
              <w:rPr>
                <w:rFonts w:eastAsia="黑体"/>
                <w:sz w:val="21"/>
                <w:szCs w:val="21"/>
              </w:rPr>
              <w:t>以上都不</w:t>
            </w:r>
            <w:r>
              <w:rPr>
                <w:rFonts w:eastAsia="黑体"/>
                <w:sz w:val="21"/>
                <w:szCs w:val="21"/>
                <w:lang w:val="en"/>
              </w:rPr>
              <w:t>属于</w:t>
            </w:r>
            <w:r>
              <w:rPr>
                <w:rFonts w:hint="eastAsia" w:eastAsia="黑体"/>
                <w:sz w:val="21"/>
                <w:szCs w:val="21"/>
                <w:lang w:eastAsia="zh-CN"/>
              </w:rPr>
              <w:t>此栏空白）</w:t>
            </w:r>
          </w:p>
        </w:tc>
        <w:tc>
          <w:tcPr>
            <w:tcW w:w="1010" w:type="dxa"/>
            <w:gridSpan w:val="2"/>
            <w:noWrap w:val="0"/>
            <w:vAlign w:val="center"/>
          </w:tcPr>
          <w:p>
            <w:pPr>
              <w:overflowPunct w:val="0"/>
              <w:spacing w:line="240" w:lineRule="exact"/>
              <w:jc w:val="center"/>
              <w:rPr>
                <w:rFonts w:eastAsia="黑体"/>
                <w:sz w:val="21"/>
                <w:szCs w:val="21"/>
              </w:rPr>
            </w:pPr>
            <w:r>
              <w:rPr>
                <w:rFonts w:eastAsia="黑体"/>
                <w:sz w:val="21"/>
                <w:szCs w:val="21"/>
              </w:rPr>
              <w:t>是否</w:t>
            </w:r>
            <w:r>
              <w:rPr>
                <w:rFonts w:hint="eastAsia" w:eastAsia="黑体"/>
                <w:sz w:val="21"/>
                <w:szCs w:val="21"/>
                <w:lang w:eastAsia="zh-CN"/>
              </w:rPr>
              <w:t>处于</w:t>
            </w:r>
            <w:r>
              <w:rPr>
                <w:rFonts w:eastAsia="黑体"/>
                <w:sz w:val="21"/>
                <w:szCs w:val="21"/>
              </w:rPr>
              <w:t>医学隔离观察</w:t>
            </w:r>
            <w:r>
              <w:rPr>
                <w:rFonts w:hint="eastAsia" w:eastAsia="黑体"/>
                <w:sz w:val="21"/>
                <w:szCs w:val="21"/>
                <w:lang w:eastAsia="zh-CN"/>
              </w:rPr>
              <w:t>期</w:t>
            </w:r>
            <w:r>
              <w:rPr>
                <w:rFonts w:eastAsia="黑体"/>
                <w:sz w:val="21"/>
                <w:szCs w:val="21"/>
              </w:rPr>
              <w:t>：①是</w:t>
            </w:r>
            <w:r>
              <w:rPr>
                <w:rFonts w:hint="eastAsia" w:eastAsia="黑体"/>
                <w:sz w:val="21"/>
                <w:szCs w:val="21"/>
                <w:lang w:eastAsia="zh-CN"/>
              </w:rPr>
              <w:t>（不是的此栏空白）</w:t>
            </w:r>
          </w:p>
        </w:tc>
        <w:tc>
          <w:tcPr>
            <w:tcW w:w="872" w:type="dxa"/>
            <w:gridSpan w:val="2"/>
            <w:noWrap w:val="0"/>
            <w:vAlign w:val="center"/>
          </w:tcPr>
          <w:p>
            <w:pPr>
              <w:overflowPunct w:val="0"/>
              <w:spacing w:line="240" w:lineRule="exact"/>
              <w:ind w:right="-25" w:rightChars="-12"/>
              <w:jc w:val="center"/>
              <w:rPr>
                <w:rFonts w:hint="eastAsia" w:eastAsia="黑体"/>
                <w:sz w:val="21"/>
                <w:szCs w:val="21"/>
                <w:lang w:val="en-US" w:eastAsia="zh-CN"/>
              </w:rPr>
            </w:pPr>
            <w:r>
              <w:rPr>
                <w:rFonts w:hint="eastAsia" w:eastAsia="黑体"/>
                <w:color w:val="auto"/>
                <w:sz w:val="21"/>
                <w:szCs w:val="21"/>
                <w:lang w:val="en-US" w:eastAsia="zh-CN"/>
              </w:rPr>
              <w:t>开考</w:t>
            </w:r>
            <w:r>
              <w:rPr>
                <w:rFonts w:hint="eastAsia" w:eastAsia="黑体"/>
                <w:sz w:val="21"/>
                <w:szCs w:val="21"/>
                <w:lang w:val="en-US" w:eastAsia="zh-CN"/>
              </w:rPr>
              <w:t>前72小时内</w:t>
            </w:r>
            <w:r>
              <w:rPr>
                <w:rFonts w:eastAsia="黑体"/>
                <w:sz w:val="21"/>
                <w:szCs w:val="21"/>
              </w:rPr>
              <w:t>核酸检测</w:t>
            </w:r>
            <w:r>
              <w:rPr>
                <w:rFonts w:hint="eastAsia" w:eastAsia="黑体"/>
                <w:sz w:val="21"/>
                <w:szCs w:val="21"/>
                <w:lang w:val="en-US" w:eastAsia="zh-CN"/>
              </w:rPr>
              <w:t>次数</w:t>
            </w:r>
          </w:p>
        </w:tc>
        <w:tc>
          <w:tcPr>
            <w:tcW w:w="685" w:type="dxa"/>
            <w:noWrap w:val="0"/>
            <w:vAlign w:val="center"/>
          </w:tcPr>
          <w:p>
            <w:pPr>
              <w:overflowPunct w:val="0"/>
              <w:spacing w:line="240" w:lineRule="exact"/>
              <w:jc w:val="center"/>
              <w:rPr>
                <w:rFonts w:hint="default" w:eastAsia="黑体"/>
                <w:sz w:val="21"/>
                <w:szCs w:val="21"/>
                <w:lang w:val="en-US" w:eastAsia="zh-CN"/>
              </w:rPr>
            </w:pPr>
            <w:r>
              <w:rPr>
                <w:rFonts w:hint="eastAsia" w:eastAsia="黑体"/>
                <w:sz w:val="21"/>
                <w:szCs w:val="21"/>
                <w:lang w:val="en-US" w:eastAsia="zh-CN"/>
              </w:rPr>
              <w:t>核酸检测日期</w:t>
            </w:r>
          </w:p>
        </w:tc>
        <w:tc>
          <w:tcPr>
            <w:tcW w:w="749" w:type="dxa"/>
            <w:noWrap w:val="0"/>
            <w:vAlign w:val="center"/>
          </w:tcPr>
          <w:p>
            <w:pPr>
              <w:overflowPunct w:val="0"/>
              <w:spacing w:line="240" w:lineRule="exact"/>
              <w:jc w:val="center"/>
              <w:rPr>
                <w:rFonts w:hint="eastAsia" w:eastAsia="黑体"/>
                <w:sz w:val="21"/>
                <w:szCs w:val="21"/>
                <w:lang w:val="en-US" w:eastAsia="zh-CN"/>
              </w:rPr>
            </w:pPr>
            <w:r>
              <w:rPr>
                <w:rFonts w:hint="eastAsia" w:eastAsia="黑体"/>
                <w:sz w:val="21"/>
                <w:szCs w:val="21"/>
                <w:lang w:val="en-US" w:eastAsia="zh-CN"/>
              </w:rPr>
              <w:t>核酸检测结果（阴性的此栏空白）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903" w:type="dxa"/>
            <w:gridSpan w:val="3"/>
            <w:noWrap w:val="0"/>
            <w:vAlign w:val="top"/>
          </w:tcPr>
          <w:p>
            <w:pPr>
              <w:overflowPunct w:val="0"/>
              <w:spacing w:line="280" w:lineRule="exact"/>
              <w:jc w:val="left"/>
              <w:rPr>
                <w:rFonts w:eastAsia="黑体"/>
                <w:sz w:val="21"/>
                <w:szCs w:val="21"/>
              </w:rPr>
            </w:pPr>
          </w:p>
        </w:tc>
        <w:tc>
          <w:tcPr>
            <w:tcW w:w="1483" w:type="dxa"/>
            <w:gridSpan w:val="3"/>
            <w:noWrap w:val="0"/>
            <w:vAlign w:val="center"/>
          </w:tcPr>
          <w:p>
            <w:pPr>
              <w:overflowPunct w:val="0"/>
              <w:spacing w:line="280" w:lineRule="exact"/>
              <w:jc w:val="left"/>
              <w:rPr>
                <w:rFonts w:eastAsia="黑体"/>
                <w:sz w:val="21"/>
                <w:szCs w:val="21"/>
              </w:rPr>
            </w:pPr>
          </w:p>
        </w:tc>
        <w:tc>
          <w:tcPr>
            <w:tcW w:w="1471" w:type="dxa"/>
            <w:gridSpan w:val="2"/>
            <w:noWrap w:val="0"/>
            <w:vAlign w:val="center"/>
          </w:tcPr>
          <w:p>
            <w:pPr>
              <w:overflowPunct w:val="0"/>
              <w:spacing w:line="280" w:lineRule="exact"/>
              <w:jc w:val="left"/>
              <w:rPr>
                <w:rFonts w:eastAsia="黑体"/>
                <w:sz w:val="21"/>
                <w:szCs w:val="21"/>
              </w:rPr>
            </w:pPr>
          </w:p>
        </w:tc>
        <w:tc>
          <w:tcPr>
            <w:tcW w:w="1895" w:type="dxa"/>
            <w:gridSpan w:val="4"/>
            <w:noWrap w:val="0"/>
            <w:vAlign w:val="center"/>
          </w:tcPr>
          <w:p>
            <w:pPr>
              <w:overflowPunct w:val="0"/>
              <w:spacing w:line="280" w:lineRule="exact"/>
              <w:jc w:val="left"/>
              <w:rPr>
                <w:rFonts w:eastAsia="黑体"/>
                <w:sz w:val="21"/>
                <w:szCs w:val="21"/>
              </w:rPr>
            </w:pPr>
          </w:p>
        </w:tc>
        <w:tc>
          <w:tcPr>
            <w:tcW w:w="1010" w:type="dxa"/>
            <w:gridSpan w:val="2"/>
            <w:noWrap w:val="0"/>
            <w:vAlign w:val="center"/>
          </w:tcPr>
          <w:p>
            <w:pPr>
              <w:overflowPunct w:val="0"/>
              <w:spacing w:line="280" w:lineRule="exact"/>
              <w:jc w:val="left"/>
              <w:rPr>
                <w:rFonts w:eastAsia="黑体"/>
                <w:sz w:val="21"/>
                <w:szCs w:val="21"/>
              </w:rPr>
            </w:pPr>
          </w:p>
        </w:tc>
        <w:tc>
          <w:tcPr>
            <w:tcW w:w="872" w:type="dxa"/>
            <w:gridSpan w:val="2"/>
            <w:noWrap w:val="0"/>
            <w:vAlign w:val="center"/>
          </w:tcPr>
          <w:p>
            <w:pPr>
              <w:overflowPunct w:val="0"/>
              <w:spacing w:line="280" w:lineRule="exact"/>
              <w:jc w:val="left"/>
              <w:rPr>
                <w:rFonts w:eastAsia="黑体"/>
                <w:sz w:val="21"/>
                <w:szCs w:val="21"/>
              </w:rPr>
            </w:pPr>
          </w:p>
        </w:tc>
        <w:tc>
          <w:tcPr>
            <w:tcW w:w="685" w:type="dxa"/>
            <w:noWrap w:val="0"/>
            <w:vAlign w:val="center"/>
          </w:tcPr>
          <w:p>
            <w:pPr>
              <w:overflowPunct w:val="0"/>
              <w:spacing w:line="280" w:lineRule="exact"/>
              <w:jc w:val="left"/>
              <w:rPr>
                <w:rFonts w:eastAsia="黑体"/>
                <w:sz w:val="21"/>
                <w:szCs w:val="21"/>
              </w:rPr>
            </w:pPr>
          </w:p>
        </w:tc>
        <w:tc>
          <w:tcPr>
            <w:tcW w:w="749" w:type="dxa"/>
            <w:noWrap w:val="0"/>
            <w:vAlign w:val="center"/>
          </w:tcPr>
          <w:p>
            <w:pPr>
              <w:overflowPunct w:val="0"/>
              <w:spacing w:line="280" w:lineRule="exact"/>
              <w:jc w:val="left"/>
              <w:rPr>
                <w:rFonts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068" w:type="dxa"/>
            <w:gridSpan w:val="18"/>
            <w:noWrap w:val="0"/>
            <w:vAlign w:val="center"/>
          </w:tcPr>
          <w:p>
            <w:pPr>
              <w:overflowPunct w:val="0"/>
              <w:spacing w:line="280" w:lineRule="exact"/>
              <w:jc w:val="center"/>
              <w:rPr>
                <w:rFonts w:eastAsia="黑体"/>
                <w:sz w:val="21"/>
                <w:szCs w:val="21"/>
              </w:rPr>
            </w:pPr>
            <w:r>
              <w:rPr>
                <w:rFonts w:eastAsia="黑体"/>
                <w:sz w:val="24"/>
                <w:szCs w:val="24"/>
              </w:rPr>
              <w:t>健康监测（</w:t>
            </w:r>
            <w:r>
              <w:rPr>
                <w:rFonts w:hint="eastAsia" w:eastAsia="黑体"/>
                <w:sz w:val="24"/>
                <w:szCs w:val="24"/>
                <w:lang w:eastAsia="zh-CN"/>
              </w:rPr>
              <w:t>考试前</w:t>
            </w:r>
            <w:r>
              <w:rPr>
                <w:rFonts w:hint="eastAsia" w:eastAsia="黑体"/>
                <w:sz w:val="24"/>
                <w:szCs w:val="24"/>
                <w:lang w:val="en-US" w:eastAsia="zh-CN"/>
              </w:rPr>
              <w:t>7日起</w:t>
            </w:r>
            <w:r>
              <w:rPr>
                <w:rFonts w:eastAsia="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820" w:type="dxa"/>
            <w:noWrap w:val="0"/>
            <w:vAlign w:val="center"/>
          </w:tcPr>
          <w:p>
            <w:pPr>
              <w:overflowPunct w:val="0"/>
              <w:spacing w:line="220" w:lineRule="exact"/>
              <w:jc w:val="center"/>
              <w:rPr>
                <w:rFonts w:eastAsia="黑体"/>
                <w:sz w:val="21"/>
                <w:szCs w:val="21"/>
              </w:rPr>
            </w:pPr>
            <w:r>
              <w:rPr>
                <w:rFonts w:eastAsia="黑体"/>
                <w:sz w:val="21"/>
                <w:szCs w:val="21"/>
              </w:rPr>
              <w:t>天数</w:t>
            </w:r>
          </w:p>
        </w:tc>
        <w:tc>
          <w:tcPr>
            <w:tcW w:w="1665" w:type="dxa"/>
            <w:gridSpan w:val="4"/>
            <w:noWrap w:val="0"/>
            <w:vAlign w:val="center"/>
          </w:tcPr>
          <w:p>
            <w:pPr>
              <w:overflowPunct w:val="0"/>
              <w:spacing w:line="220" w:lineRule="exact"/>
              <w:jc w:val="center"/>
              <w:rPr>
                <w:rFonts w:hint="eastAsia" w:eastAsia="黑体"/>
                <w:sz w:val="21"/>
                <w:szCs w:val="21"/>
                <w:lang w:eastAsia="zh-CN"/>
              </w:rPr>
            </w:pPr>
            <w:r>
              <w:rPr>
                <w:rFonts w:eastAsia="黑体"/>
                <w:sz w:val="21"/>
                <w:szCs w:val="21"/>
              </w:rPr>
              <w:t>监测日期</w:t>
            </w:r>
          </w:p>
        </w:tc>
        <w:tc>
          <w:tcPr>
            <w:tcW w:w="1133" w:type="dxa"/>
            <w:gridSpan w:val="2"/>
            <w:noWrap w:val="0"/>
            <w:vAlign w:val="center"/>
          </w:tcPr>
          <w:p>
            <w:pPr>
              <w:overflowPunct w:val="0"/>
              <w:spacing w:line="220" w:lineRule="exact"/>
              <w:jc w:val="left"/>
              <w:rPr>
                <w:rFonts w:eastAsia="黑体"/>
                <w:sz w:val="21"/>
                <w:szCs w:val="21"/>
              </w:rPr>
            </w:pPr>
            <w:r>
              <w:rPr>
                <w:rFonts w:hint="eastAsia" w:eastAsia="黑体"/>
                <w:sz w:val="21"/>
                <w:szCs w:val="21"/>
              </w:rPr>
              <w:t>健康</w:t>
            </w:r>
            <w:r>
              <w:rPr>
                <w:rFonts w:eastAsia="黑体"/>
                <w:sz w:val="21"/>
                <w:szCs w:val="21"/>
              </w:rPr>
              <w:t>码：</w:t>
            </w:r>
            <w:r>
              <w:rPr>
                <w:rFonts w:hint="eastAsia" w:ascii="宋体" w:hAnsi="宋体" w:eastAsia="宋体" w:cs="宋体"/>
                <w:sz w:val="21"/>
                <w:szCs w:val="21"/>
              </w:rPr>
              <w:t>①</w:t>
            </w:r>
            <w:r>
              <w:rPr>
                <w:rFonts w:eastAsia="黑体"/>
                <w:sz w:val="21"/>
                <w:szCs w:val="21"/>
              </w:rPr>
              <w:t>红码</w:t>
            </w:r>
          </w:p>
          <w:p>
            <w:pPr>
              <w:overflowPunct w:val="0"/>
              <w:spacing w:line="220" w:lineRule="exact"/>
              <w:jc w:val="left"/>
              <w:rPr>
                <w:rFonts w:eastAsia="黑体"/>
                <w:sz w:val="21"/>
                <w:szCs w:val="21"/>
              </w:rPr>
            </w:pPr>
            <w:r>
              <w:rPr>
                <w:rFonts w:hint="eastAsia" w:ascii="宋体" w:hAnsi="宋体" w:eastAsia="宋体" w:cs="宋体"/>
                <w:sz w:val="21"/>
                <w:szCs w:val="21"/>
              </w:rPr>
              <w:t>②</w:t>
            </w:r>
            <w:r>
              <w:rPr>
                <w:rFonts w:eastAsia="黑体"/>
                <w:sz w:val="21"/>
                <w:szCs w:val="21"/>
              </w:rPr>
              <w:t>黄码</w:t>
            </w:r>
          </w:p>
          <w:p>
            <w:pPr>
              <w:overflowPunct w:val="0"/>
              <w:spacing w:line="220" w:lineRule="exact"/>
              <w:jc w:val="left"/>
              <w:rPr>
                <w:rFonts w:hint="eastAsia" w:eastAsia="黑体"/>
                <w:sz w:val="21"/>
                <w:szCs w:val="21"/>
                <w:lang w:eastAsia="zh-CN"/>
              </w:rPr>
            </w:pPr>
            <w:r>
              <w:rPr>
                <w:rFonts w:hint="eastAsia" w:eastAsia="黑体"/>
                <w:sz w:val="21"/>
                <w:szCs w:val="21"/>
                <w:lang w:eastAsia="zh-CN"/>
              </w:rPr>
              <w:t>（绿码此栏空白）</w:t>
            </w:r>
          </w:p>
        </w:tc>
        <w:tc>
          <w:tcPr>
            <w:tcW w:w="1239" w:type="dxa"/>
            <w:noWrap w:val="0"/>
            <w:vAlign w:val="center"/>
          </w:tcPr>
          <w:p>
            <w:pPr>
              <w:overflowPunct w:val="0"/>
              <w:spacing w:line="240" w:lineRule="exact"/>
              <w:jc w:val="center"/>
              <w:rPr>
                <w:rFonts w:hint="eastAsia" w:eastAsia="黑体"/>
                <w:sz w:val="21"/>
                <w:szCs w:val="21"/>
                <w:lang w:eastAsia="zh-CN"/>
              </w:rPr>
            </w:pPr>
            <w:r>
              <w:rPr>
                <w:rFonts w:eastAsia="黑体"/>
                <w:sz w:val="21"/>
                <w:szCs w:val="21"/>
              </w:rPr>
              <w:t>通信大数据行程卡</w:t>
            </w:r>
            <w:r>
              <w:rPr>
                <w:rFonts w:hint="eastAsia" w:eastAsia="黑体"/>
                <w:sz w:val="21"/>
                <w:szCs w:val="21"/>
                <w:lang w:eastAsia="zh-CN"/>
              </w:rPr>
              <w:t>显示到达或途径发生疫情城市</w:t>
            </w:r>
            <w:r>
              <w:rPr>
                <w:rFonts w:hint="eastAsia" w:ascii="宋体" w:hAnsi="宋体" w:eastAsia="宋体" w:cs="宋体"/>
                <w:sz w:val="21"/>
                <w:szCs w:val="21"/>
              </w:rPr>
              <w:t>①</w:t>
            </w:r>
            <w:r>
              <w:rPr>
                <w:rFonts w:hint="eastAsia" w:eastAsia="黑体"/>
                <w:sz w:val="21"/>
                <w:szCs w:val="21"/>
                <w:lang w:eastAsia="zh-CN"/>
              </w:rPr>
              <w:t>是（未到过的此栏空白）</w:t>
            </w:r>
          </w:p>
        </w:tc>
        <w:tc>
          <w:tcPr>
            <w:tcW w:w="1268" w:type="dxa"/>
            <w:gridSpan w:val="2"/>
            <w:noWrap w:val="0"/>
            <w:vAlign w:val="center"/>
          </w:tcPr>
          <w:p>
            <w:pPr>
              <w:keepNext w:val="0"/>
              <w:keepLines w:val="0"/>
              <w:pageBreakBefore w:val="0"/>
              <w:widowControl w:val="0"/>
              <w:kinsoku/>
              <w:wordWrap/>
              <w:overflowPunct w:val="0"/>
              <w:topLinePunct w:val="0"/>
              <w:autoSpaceDE/>
              <w:autoSpaceDN/>
              <w:bidi w:val="0"/>
              <w:adjustRightInd/>
              <w:snapToGrid/>
              <w:spacing w:line="260" w:lineRule="exact"/>
              <w:jc w:val="center"/>
              <w:textAlignment w:val="auto"/>
              <w:rPr>
                <w:rFonts w:hint="default" w:ascii="Arial" w:hAnsi="Arial" w:eastAsia="黑体" w:cs="Arial"/>
                <w:sz w:val="21"/>
                <w:szCs w:val="21"/>
                <w:lang w:val="en-US" w:eastAsia="zh-CN"/>
              </w:rPr>
            </w:pPr>
            <w:r>
              <w:rPr>
                <w:rFonts w:hint="eastAsia" w:ascii="Arial" w:hAnsi="Arial" w:eastAsia="黑体" w:cs="Arial"/>
                <w:sz w:val="21"/>
                <w:szCs w:val="21"/>
                <w:lang w:val="en-US" w:eastAsia="zh-CN"/>
              </w:rPr>
              <w:t>体温</w:t>
            </w:r>
          </w:p>
        </w:tc>
        <w:tc>
          <w:tcPr>
            <w:tcW w:w="1867" w:type="dxa"/>
            <w:gridSpan w:val="5"/>
            <w:noWrap w:val="0"/>
            <w:tcMar>
              <w:top w:w="0" w:type="dxa"/>
              <w:left w:w="85" w:type="dxa"/>
              <w:bottom w:w="0" w:type="dxa"/>
              <w:right w:w="28" w:type="dxa"/>
            </w:tcMar>
            <w:vAlign w:val="center"/>
          </w:tcPr>
          <w:p>
            <w:pPr>
              <w:overflowPunct w:val="0"/>
              <w:spacing w:line="220" w:lineRule="exact"/>
              <w:jc w:val="left"/>
              <w:rPr>
                <w:rFonts w:hint="eastAsia" w:eastAsia="黑体"/>
                <w:sz w:val="21"/>
                <w:szCs w:val="21"/>
                <w:lang w:eastAsia="zh-CN"/>
              </w:rPr>
            </w:pPr>
            <w:r>
              <w:rPr>
                <w:rFonts w:eastAsia="黑体"/>
                <w:sz w:val="21"/>
                <w:szCs w:val="21"/>
              </w:rPr>
              <w:t>是否有以下症状：①发热②乏力③咳嗽或打喷嚏④咽痛⑤腹泻⑥呕吐⑦黄疸⑧皮疹⑨结膜充血</w:t>
            </w:r>
            <w:r>
              <w:rPr>
                <w:rFonts w:hint="eastAsia" w:eastAsia="黑体"/>
                <w:sz w:val="21"/>
                <w:szCs w:val="21"/>
                <w:lang w:eastAsia="zh-CN"/>
              </w:rPr>
              <w:t>（以上均没有的此栏空白）</w:t>
            </w:r>
          </w:p>
        </w:tc>
        <w:tc>
          <w:tcPr>
            <w:tcW w:w="2076" w:type="dxa"/>
            <w:gridSpan w:val="3"/>
            <w:noWrap w:val="0"/>
            <w:vAlign w:val="center"/>
          </w:tcPr>
          <w:p>
            <w:pPr>
              <w:overflowPunct w:val="0"/>
              <w:spacing w:line="220" w:lineRule="exact"/>
              <w:jc w:val="center"/>
              <w:rPr>
                <w:rFonts w:hint="eastAsia" w:eastAsia="黑体"/>
                <w:sz w:val="21"/>
                <w:szCs w:val="21"/>
                <w:lang w:eastAsia="zh-CN"/>
              </w:rPr>
            </w:pPr>
            <w:r>
              <w:rPr>
                <w:rFonts w:hint="eastAsia" w:eastAsia="黑体"/>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0" w:type="dxa"/>
            <w:noWrap w:val="0"/>
            <w:vAlign w:val="center"/>
          </w:tcPr>
          <w:p>
            <w:pPr>
              <w:overflowPunct w:val="0"/>
              <w:spacing w:line="240" w:lineRule="exact"/>
              <w:jc w:val="center"/>
              <w:rPr>
                <w:sz w:val="21"/>
                <w:szCs w:val="21"/>
              </w:rPr>
            </w:pPr>
            <w:r>
              <w:rPr>
                <w:sz w:val="21"/>
                <w:szCs w:val="21"/>
              </w:rPr>
              <w:t>1</w:t>
            </w:r>
          </w:p>
        </w:tc>
        <w:tc>
          <w:tcPr>
            <w:tcW w:w="1665" w:type="dxa"/>
            <w:gridSpan w:val="4"/>
            <w:noWrap w:val="0"/>
            <w:vAlign w:val="center"/>
          </w:tcPr>
          <w:p>
            <w:pPr>
              <w:overflowPunct w:val="0"/>
              <w:spacing w:line="240" w:lineRule="exact"/>
              <w:jc w:val="center"/>
              <w:rPr>
                <w:rFonts w:hint="default" w:eastAsia="仿宋_GB2312"/>
                <w:sz w:val="21"/>
                <w:szCs w:val="21"/>
                <w:u w:val="single"/>
                <w:lang w:val="en-US" w:eastAsia="zh-CN"/>
              </w:rPr>
            </w:pPr>
            <w:r>
              <w:rPr>
                <w:rFonts w:hint="eastAsia"/>
                <w:sz w:val="21"/>
                <w:szCs w:val="21"/>
                <w:u w:val="single"/>
                <w:lang w:val="en-US" w:eastAsia="zh-CN"/>
              </w:rPr>
              <w:t xml:space="preserve">    </w:t>
            </w:r>
            <w:r>
              <w:rPr>
                <w:rFonts w:hint="eastAsia"/>
                <w:sz w:val="21"/>
                <w:szCs w:val="21"/>
                <w:u w:val="none"/>
                <w:lang w:val="en-US" w:eastAsia="zh-CN"/>
              </w:rPr>
              <w:t>月</w:t>
            </w:r>
            <w:r>
              <w:rPr>
                <w:rFonts w:hint="eastAsia"/>
                <w:sz w:val="21"/>
                <w:szCs w:val="21"/>
                <w:u w:val="single"/>
                <w:lang w:val="en-US" w:eastAsia="zh-CN"/>
              </w:rPr>
              <w:t xml:space="preserve">    </w:t>
            </w:r>
            <w:r>
              <w:rPr>
                <w:rFonts w:hint="eastAsia"/>
                <w:sz w:val="21"/>
                <w:szCs w:val="21"/>
                <w:u w:val="none"/>
                <w:lang w:val="en-US" w:eastAsia="zh-CN"/>
              </w:rPr>
              <w:t>日</w:t>
            </w:r>
          </w:p>
        </w:tc>
        <w:tc>
          <w:tcPr>
            <w:tcW w:w="1133" w:type="dxa"/>
            <w:gridSpan w:val="2"/>
            <w:noWrap w:val="0"/>
            <w:vAlign w:val="center"/>
          </w:tcPr>
          <w:p>
            <w:pPr>
              <w:overflowPunct w:val="0"/>
              <w:spacing w:line="240" w:lineRule="exact"/>
              <w:jc w:val="center"/>
              <w:rPr>
                <w:sz w:val="21"/>
                <w:szCs w:val="21"/>
              </w:rPr>
            </w:pPr>
          </w:p>
        </w:tc>
        <w:tc>
          <w:tcPr>
            <w:tcW w:w="1239" w:type="dxa"/>
            <w:noWrap w:val="0"/>
            <w:vAlign w:val="center"/>
          </w:tcPr>
          <w:p>
            <w:pPr>
              <w:overflowPunct w:val="0"/>
              <w:spacing w:line="240" w:lineRule="exact"/>
              <w:jc w:val="center"/>
              <w:rPr>
                <w:sz w:val="21"/>
                <w:szCs w:val="21"/>
              </w:rPr>
            </w:pPr>
          </w:p>
        </w:tc>
        <w:tc>
          <w:tcPr>
            <w:tcW w:w="1268" w:type="dxa"/>
            <w:gridSpan w:val="2"/>
            <w:noWrap w:val="0"/>
            <w:vAlign w:val="center"/>
          </w:tcPr>
          <w:p>
            <w:pPr>
              <w:overflowPunct w:val="0"/>
              <w:spacing w:line="240" w:lineRule="exact"/>
              <w:jc w:val="center"/>
              <w:rPr>
                <w:sz w:val="21"/>
                <w:szCs w:val="21"/>
              </w:rPr>
            </w:pPr>
          </w:p>
        </w:tc>
        <w:tc>
          <w:tcPr>
            <w:tcW w:w="1867" w:type="dxa"/>
            <w:gridSpan w:val="5"/>
            <w:noWrap w:val="0"/>
            <w:vAlign w:val="center"/>
          </w:tcPr>
          <w:p>
            <w:pPr>
              <w:overflowPunct w:val="0"/>
              <w:spacing w:line="240" w:lineRule="exact"/>
              <w:jc w:val="center"/>
              <w:rPr>
                <w:sz w:val="21"/>
                <w:szCs w:val="21"/>
              </w:rPr>
            </w:pPr>
          </w:p>
        </w:tc>
        <w:tc>
          <w:tcPr>
            <w:tcW w:w="2076" w:type="dxa"/>
            <w:gridSpan w:val="3"/>
            <w:noWrap w:val="0"/>
            <w:vAlign w:val="center"/>
          </w:tcPr>
          <w:p>
            <w:pPr>
              <w:overflowPunct w:val="0"/>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0" w:type="dxa"/>
            <w:noWrap w:val="0"/>
            <w:vAlign w:val="center"/>
          </w:tcPr>
          <w:p>
            <w:pPr>
              <w:overflowPunct w:val="0"/>
              <w:spacing w:line="240" w:lineRule="exact"/>
              <w:jc w:val="center"/>
              <w:rPr>
                <w:sz w:val="21"/>
                <w:szCs w:val="21"/>
              </w:rPr>
            </w:pPr>
            <w:r>
              <w:rPr>
                <w:sz w:val="21"/>
                <w:szCs w:val="21"/>
              </w:rPr>
              <w:t>2</w:t>
            </w:r>
          </w:p>
        </w:tc>
        <w:tc>
          <w:tcPr>
            <w:tcW w:w="1665" w:type="dxa"/>
            <w:gridSpan w:val="4"/>
            <w:noWrap w:val="0"/>
            <w:vAlign w:val="center"/>
          </w:tcPr>
          <w:p>
            <w:pPr>
              <w:spacing w:line="240" w:lineRule="exact"/>
              <w:jc w:val="center"/>
              <w:rPr>
                <w:sz w:val="21"/>
                <w:szCs w:val="21"/>
              </w:rPr>
            </w:pPr>
            <w:r>
              <w:rPr>
                <w:rFonts w:hint="eastAsia"/>
                <w:sz w:val="21"/>
                <w:szCs w:val="21"/>
                <w:u w:val="single"/>
                <w:lang w:val="en-US" w:eastAsia="zh-CN"/>
              </w:rPr>
              <w:t xml:space="preserve">    </w:t>
            </w:r>
            <w:r>
              <w:rPr>
                <w:rFonts w:hint="eastAsia"/>
                <w:sz w:val="21"/>
                <w:szCs w:val="21"/>
                <w:u w:val="none"/>
                <w:lang w:val="en-US" w:eastAsia="zh-CN"/>
              </w:rPr>
              <w:t>月</w:t>
            </w:r>
            <w:r>
              <w:rPr>
                <w:rFonts w:hint="eastAsia"/>
                <w:sz w:val="21"/>
                <w:szCs w:val="21"/>
                <w:u w:val="single"/>
                <w:lang w:val="en-US" w:eastAsia="zh-CN"/>
              </w:rPr>
              <w:t xml:space="preserve">    </w:t>
            </w:r>
            <w:r>
              <w:rPr>
                <w:rFonts w:hint="eastAsia"/>
                <w:sz w:val="21"/>
                <w:szCs w:val="21"/>
                <w:u w:val="none"/>
                <w:lang w:val="en-US" w:eastAsia="zh-CN"/>
              </w:rPr>
              <w:t>日</w:t>
            </w:r>
          </w:p>
        </w:tc>
        <w:tc>
          <w:tcPr>
            <w:tcW w:w="1133" w:type="dxa"/>
            <w:gridSpan w:val="2"/>
            <w:noWrap w:val="0"/>
            <w:vAlign w:val="center"/>
          </w:tcPr>
          <w:p>
            <w:pPr>
              <w:overflowPunct w:val="0"/>
              <w:spacing w:line="240" w:lineRule="exact"/>
              <w:jc w:val="center"/>
              <w:rPr>
                <w:sz w:val="21"/>
                <w:szCs w:val="21"/>
              </w:rPr>
            </w:pPr>
          </w:p>
        </w:tc>
        <w:tc>
          <w:tcPr>
            <w:tcW w:w="1239" w:type="dxa"/>
            <w:noWrap w:val="0"/>
            <w:vAlign w:val="center"/>
          </w:tcPr>
          <w:p>
            <w:pPr>
              <w:overflowPunct w:val="0"/>
              <w:spacing w:line="240" w:lineRule="exact"/>
              <w:jc w:val="center"/>
              <w:rPr>
                <w:sz w:val="21"/>
                <w:szCs w:val="21"/>
              </w:rPr>
            </w:pPr>
          </w:p>
        </w:tc>
        <w:tc>
          <w:tcPr>
            <w:tcW w:w="1268" w:type="dxa"/>
            <w:gridSpan w:val="2"/>
            <w:noWrap w:val="0"/>
            <w:vAlign w:val="center"/>
          </w:tcPr>
          <w:p>
            <w:pPr>
              <w:overflowPunct w:val="0"/>
              <w:spacing w:line="240" w:lineRule="exact"/>
              <w:jc w:val="center"/>
              <w:rPr>
                <w:sz w:val="21"/>
                <w:szCs w:val="21"/>
              </w:rPr>
            </w:pPr>
          </w:p>
        </w:tc>
        <w:tc>
          <w:tcPr>
            <w:tcW w:w="1867" w:type="dxa"/>
            <w:gridSpan w:val="5"/>
            <w:noWrap w:val="0"/>
            <w:vAlign w:val="center"/>
          </w:tcPr>
          <w:p>
            <w:pPr>
              <w:overflowPunct w:val="0"/>
              <w:spacing w:line="240" w:lineRule="exact"/>
              <w:jc w:val="center"/>
              <w:rPr>
                <w:sz w:val="21"/>
                <w:szCs w:val="21"/>
              </w:rPr>
            </w:pPr>
          </w:p>
        </w:tc>
        <w:tc>
          <w:tcPr>
            <w:tcW w:w="2076" w:type="dxa"/>
            <w:gridSpan w:val="3"/>
            <w:noWrap w:val="0"/>
            <w:vAlign w:val="center"/>
          </w:tcPr>
          <w:p>
            <w:pPr>
              <w:overflowPunct w:val="0"/>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0" w:type="dxa"/>
            <w:noWrap w:val="0"/>
            <w:vAlign w:val="center"/>
          </w:tcPr>
          <w:p>
            <w:pPr>
              <w:overflowPunct w:val="0"/>
              <w:spacing w:line="240" w:lineRule="exact"/>
              <w:jc w:val="center"/>
              <w:rPr>
                <w:sz w:val="21"/>
                <w:szCs w:val="21"/>
              </w:rPr>
            </w:pPr>
            <w:r>
              <w:rPr>
                <w:sz w:val="21"/>
                <w:szCs w:val="21"/>
              </w:rPr>
              <w:t>3</w:t>
            </w:r>
          </w:p>
        </w:tc>
        <w:tc>
          <w:tcPr>
            <w:tcW w:w="1665" w:type="dxa"/>
            <w:gridSpan w:val="4"/>
            <w:noWrap w:val="0"/>
            <w:vAlign w:val="center"/>
          </w:tcPr>
          <w:p>
            <w:pPr>
              <w:spacing w:line="240" w:lineRule="exact"/>
              <w:jc w:val="center"/>
              <w:rPr>
                <w:sz w:val="21"/>
                <w:szCs w:val="21"/>
              </w:rPr>
            </w:pPr>
            <w:r>
              <w:rPr>
                <w:rFonts w:hint="eastAsia"/>
                <w:sz w:val="21"/>
                <w:szCs w:val="21"/>
                <w:u w:val="single"/>
                <w:lang w:val="en-US" w:eastAsia="zh-CN"/>
              </w:rPr>
              <w:t xml:space="preserve">    </w:t>
            </w:r>
            <w:r>
              <w:rPr>
                <w:rFonts w:hint="eastAsia"/>
                <w:sz w:val="21"/>
                <w:szCs w:val="21"/>
                <w:u w:val="none"/>
                <w:lang w:val="en-US" w:eastAsia="zh-CN"/>
              </w:rPr>
              <w:t>月</w:t>
            </w:r>
            <w:r>
              <w:rPr>
                <w:rFonts w:hint="eastAsia"/>
                <w:sz w:val="21"/>
                <w:szCs w:val="21"/>
                <w:u w:val="single"/>
                <w:lang w:val="en-US" w:eastAsia="zh-CN"/>
              </w:rPr>
              <w:t xml:space="preserve">    </w:t>
            </w:r>
            <w:r>
              <w:rPr>
                <w:rFonts w:hint="eastAsia"/>
                <w:sz w:val="21"/>
                <w:szCs w:val="21"/>
                <w:u w:val="none"/>
                <w:lang w:val="en-US" w:eastAsia="zh-CN"/>
              </w:rPr>
              <w:t>日</w:t>
            </w:r>
          </w:p>
        </w:tc>
        <w:tc>
          <w:tcPr>
            <w:tcW w:w="1133" w:type="dxa"/>
            <w:gridSpan w:val="2"/>
            <w:noWrap w:val="0"/>
            <w:vAlign w:val="center"/>
          </w:tcPr>
          <w:p>
            <w:pPr>
              <w:overflowPunct w:val="0"/>
              <w:spacing w:line="240" w:lineRule="exact"/>
              <w:jc w:val="center"/>
              <w:rPr>
                <w:sz w:val="21"/>
                <w:szCs w:val="21"/>
              </w:rPr>
            </w:pPr>
          </w:p>
        </w:tc>
        <w:tc>
          <w:tcPr>
            <w:tcW w:w="1239" w:type="dxa"/>
            <w:noWrap w:val="0"/>
            <w:vAlign w:val="center"/>
          </w:tcPr>
          <w:p>
            <w:pPr>
              <w:overflowPunct w:val="0"/>
              <w:spacing w:line="240" w:lineRule="exact"/>
              <w:jc w:val="center"/>
              <w:rPr>
                <w:sz w:val="21"/>
                <w:szCs w:val="21"/>
              </w:rPr>
            </w:pPr>
          </w:p>
        </w:tc>
        <w:tc>
          <w:tcPr>
            <w:tcW w:w="1268" w:type="dxa"/>
            <w:gridSpan w:val="2"/>
            <w:noWrap w:val="0"/>
            <w:vAlign w:val="center"/>
          </w:tcPr>
          <w:p>
            <w:pPr>
              <w:overflowPunct w:val="0"/>
              <w:spacing w:line="240" w:lineRule="exact"/>
              <w:jc w:val="center"/>
              <w:rPr>
                <w:sz w:val="21"/>
                <w:szCs w:val="21"/>
              </w:rPr>
            </w:pPr>
          </w:p>
        </w:tc>
        <w:tc>
          <w:tcPr>
            <w:tcW w:w="1867" w:type="dxa"/>
            <w:gridSpan w:val="5"/>
            <w:noWrap w:val="0"/>
            <w:vAlign w:val="center"/>
          </w:tcPr>
          <w:p>
            <w:pPr>
              <w:overflowPunct w:val="0"/>
              <w:spacing w:line="240" w:lineRule="exact"/>
              <w:jc w:val="center"/>
              <w:rPr>
                <w:sz w:val="21"/>
                <w:szCs w:val="21"/>
              </w:rPr>
            </w:pPr>
          </w:p>
        </w:tc>
        <w:tc>
          <w:tcPr>
            <w:tcW w:w="2076" w:type="dxa"/>
            <w:gridSpan w:val="3"/>
            <w:noWrap w:val="0"/>
            <w:vAlign w:val="center"/>
          </w:tcPr>
          <w:p>
            <w:pPr>
              <w:overflowPunct w:val="0"/>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0" w:type="dxa"/>
            <w:noWrap w:val="0"/>
            <w:vAlign w:val="center"/>
          </w:tcPr>
          <w:p>
            <w:pPr>
              <w:overflowPunct w:val="0"/>
              <w:spacing w:line="240" w:lineRule="exact"/>
              <w:jc w:val="center"/>
              <w:rPr>
                <w:sz w:val="21"/>
                <w:szCs w:val="21"/>
              </w:rPr>
            </w:pPr>
            <w:r>
              <w:rPr>
                <w:sz w:val="21"/>
                <w:szCs w:val="21"/>
              </w:rPr>
              <w:t>4</w:t>
            </w:r>
          </w:p>
        </w:tc>
        <w:tc>
          <w:tcPr>
            <w:tcW w:w="1665" w:type="dxa"/>
            <w:gridSpan w:val="4"/>
            <w:noWrap w:val="0"/>
            <w:vAlign w:val="center"/>
          </w:tcPr>
          <w:p>
            <w:pPr>
              <w:spacing w:line="240" w:lineRule="exact"/>
              <w:jc w:val="center"/>
              <w:rPr>
                <w:sz w:val="21"/>
                <w:szCs w:val="21"/>
              </w:rPr>
            </w:pPr>
            <w:r>
              <w:rPr>
                <w:rFonts w:hint="eastAsia"/>
                <w:sz w:val="21"/>
                <w:szCs w:val="21"/>
                <w:u w:val="single"/>
                <w:lang w:val="en-US" w:eastAsia="zh-CN"/>
              </w:rPr>
              <w:t xml:space="preserve">    </w:t>
            </w:r>
            <w:r>
              <w:rPr>
                <w:rFonts w:hint="eastAsia"/>
                <w:sz w:val="21"/>
                <w:szCs w:val="21"/>
                <w:u w:val="none"/>
                <w:lang w:val="en-US" w:eastAsia="zh-CN"/>
              </w:rPr>
              <w:t>月</w:t>
            </w:r>
            <w:r>
              <w:rPr>
                <w:rFonts w:hint="eastAsia"/>
                <w:sz w:val="21"/>
                <w:szCs w:val="21"/>
                <w:u w:val="single"/>
                <w:lang w:val="en-US" w:eastAsia="zh-CN"/>
              </w:rPr>
              <w:t xml:space="preserve">    </w:t>
            </w:r>
            <w:r>
              <w:rPr>
                <w:rFonts w:hint="eastAsia"/>
                <w:sz w:val="21"/>
                <w:szCs w:val="21"/>
                <w:u w:val="none"/>
                <w:lang w:val="en-US" w:eastAsia="zh-CN"/>
              </w:rPr>
              <w:t>日</w:t>
            </w:r>
          </w:p>
        </w:tc>
        <w:tc>
          <w:tcPr>
            <w:tcW w:w="1133" w:type="dxa"/>
            <w:gridSpan w:val="2"/>
            <w:noWrap w:val="0"/>
            <w:vAlign w:val="center"/>
          </w:tcPr>
          <w:p>
            <w:pPr>
              <w:overflowPunct w:val="0"/>
              <w:spacing w:line="240" w:lineRule="exact"/>
              <w:jc w:val="center"/>
              <w:rPr>
                <w:sz w:val="21"/>
                <w:szCs w:val="21"/>
              </w:rPr>
            </w:pPr>
          </w:p>
        </w:tc>
        <w:tc>
          <w:tcPr>
            <w:tcW w:w="1239" w:type="dxa"/>
            <w:noWrap w:val="0"/>
            <w:vAlign w:val="center"/>
          </w:tcPr>
          <w:p>
            <w:pPr>
              <w:overflowPunct w:val="0"/>
              <w:spacing w:line="240" w:lineRule="exact"/>
              <w:jc w:val="center"/>
              <w:rPr>
                <w:sz w:val="21"/>
                <w:szCs w:val="21"/>
              </w:rPr>
            </w:pPr>
          </w:p>
        </w:tc>
        <w:tc>
          <w:tcPr>
            <w:tcW w:w="1268" w:type="dxa"/>
            <w:gridSpan w:val="2"/>
            <w:noWrap w:val="0"/>
            <w:vAlign w:val="center"/>
          </w:tcPr>
          <w:p>
            <w:pPr>
              <w:overflowPunct w:val="0"/>
              <w:spacing w:line="240" w:lineRule="exact"/>
              <w:jc w:val="center"/>
              <w:rPr>
                <w:sz w:val="21"/>
                <w:szCs w:val="21"/>
              </w:rPr>
            </w:pPr>
          </w:p>
        </w:tc>
        <w:tc>
          <w:tcPr>
            <w:tcW w:w="1867" w:type="dxa"/>
            <w:gridSpan w:val="5"/>
            <w:noWrap w:val="0"/>
            <w:vAlign w:val="center"/>
          </w:tcPr>
          <w:p>
            <w:pPr>
              <w:overflowPunct w:val="0"/>
              <w:spacing w:line="240" w:lineRule="exact"/>
              <w:jc w:val="center"/>
              <w:rPr>
                <w:sz w:val="21"/>
                <w:szCs w:val="21"/>
              </w:rPr>
            </w:pPr>
          </w:p>
        </w:tc>
        <w:tc>
          <w:tcPr>
            <w:tcW w:w="2076" w:type="dxa"/>
            <w:gridSpan w:val="3"/>
            <w:noWrap w:val="0"/>
            <w:vAlign w:val="center"/>
          </w:tcPr>
          <w:p>
            <w:pPr>
              <w:overflowPunct w:val="0"/>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0" w:type="dxa"/>
            <w:noWrap w:val="0"/>
            <w:vAlign w:val="center"/>
          </w:tcPr>
          <w:p>
            <w:pPr>
              <w:overflowPunct w:val="0"/>
              <w:spacing w:line="240" w:lineRule="exact"/>
              <w:jc w:val="center"/>
              <w:rPr>
                <w:sz w:val="21"/>
                <w:szCs w:val="21"/>
              </w:rPr>
            </w:pPr>
            <w:r>
              <w:rPr>
                <w:sz w:val="21"/>
                <w:szCs w:val="21"/>
              </w:rPr>
              <w:t>5</w:t>
            </w:r>
          </w:p>
        </w:tc>
        <w:tc>
          <w:tcPr>
            <w:tcW w:w="1665" w:type="dxa"/>
            <w:gridSpan w:val="4"/>
            <w:noWrap w:val="0"/>
            <w:vAlign w:val="center"/>
          </w:tcPr>
          <w:p>
            <w:pPr>
              <w:spacing w:line="240" w:lineRule="exact"/>
              <w:jc w:val="center"/>
              <w:rPr>
                <w:sz w:val="21"/>
                <w:szCs w:val="21"/>
              </w:rPr>
            </w:pPr>
            <w:r>
              <w:rPr>
                <w:rFonts w:hint="eastAsia"/>
                <w:sz w:val="21"/>
                <w:szCs w:val="21"/>
                <w:u w:val="single"/>
                <w:lang w:val="en-US" w:eastAsia="zh-CN"/>
              </w:rPr>
              <w:t xml:space="preserve">    </w:t>
            </w:r>
            <w:r>
              <w:rPr>
                <w:rFonts w:hint="eastAsia"/>
                <w:sz w:val="21"/>
                <w:szCs w:val="21"/>
                <w:u w:val="none"/>
                <w:lang w:val="en-US" w:eastAsia="zh-CN"/>
              </w:rPr>
              <w:t>月</w:t>
            </w:r>
            <w:r>
              <w:rPr>
                <w:rFonts w:hint="eastAsia"/>
                <w:sz w:val="21"/>
                <w:szCs w:val="21"/>
                <w:u w:val="single"/>
                <w:lang w:val="en-US" w:eastAsia="zh-CN"/>
              </w:rPr>
              <w:t xml:space="preserve">    </w:t>
            </w:r>
            <w:r>
              <w:rPr>
                <w:rFonts w:hint="eastAsia"/>
                <w:sz w:val="21"/>
                <w:szCs w:val="21"/>
                <w:u w:val="none"/>
                <w:lang w:val="en-US" w:eastAsia="zh-CN"/>
              </w:rPr>
              <w:t>日</w:t>
            </w:r>
          </w:p>
        </w:tc>
        <w:tc>
          <w:tcPr>
            <w:tcW w:w="1133" w:type="dxa"/>
            <w:gridSpan w:val="2"/>
            <w:noWrap w:val="0"/>
            <w:vAlign w:val="center"/>
          </w:tcPr>
          <w:p>
            <w:pPr>
              <w:overflowPunct w:val="0"/>
              <w:spacing w:line="240" w:lineRule="exact"/>
              <w:jc w:val="center"/>
              <w:rPr>
                <w:sz w:val="21"/>
                <w:szCs w:val="21"/>
              </w:rPr>
            </w:pPr>
          </w:p>
        </w:tc>
        <w:tc>
          <w:tcPr>
            <w:tcW w:w="1239" w:type="dxa"/>
            <w:noWrap w:val="0"/>
            <w:vAlign w:val="center"/>
          </w:tcPr>
          <w:p>
            <w:pPr>
              <w:overflowPunct w:val="0"/>
              <w:spacing w:line="240" w:lineRule="exact"/>
              <w:jc w:val="center"/>
              <w:rPr>
                <w:sz w:val="21"/>
                <w:szCs w:val="21"/>
              </w:rPr>
            </w:pPr>
          </w:p>
        </w:tc>
        <w:tc>
          <w:tcPr>
            <w:tcW w:w="1268" w:type="dxa"/>
            <w:gridSpan w:val="2"/>
            <w:noWrap w:val="0"/>
            <w:vAlign w:val="center"/>
          </w:tcPr>
          <w:p>
            <w:pPr>
              <w:overflowPunct w:val="0"/>
              <w:spacing w:line="240" w:lineRule="exact"/>
              <w:jc w:val="center"/>
              <w:rPr>
                <w:sz w:val="21"/>
                <w:szCs w:val="21"/>
              </w:rPr>
            </w:pPr>
          </w:p>
        </w:tc>
        <w:tc>
          <w:tcPr>
            <w:tcW w:w="1867" w:type="dxa"/>
            <w:gridSpan w:val="5"/>
            <w:noWrap w:val="0"/>
            <w:vAlign w:val="center"/>
          </w:tcPr>
          <w:p>
            <w:pPr>
              <w:overflowPunct w:val="0"/>
              <w:spacing w:line="240" w:lineRule="exact"/>
              <w:jc w:val="center"/>
              <w:rPr>
                <w:sz w:val="21"/>
                <w:szCs w:val="21"/>
              </w:rPr>
            </w:pPr>
          </w:p>
        </w:tc>
        <w:tc>
          <w:tcPr>
            <w:tcW w:w="2076" w:type="dxa"/>
            <w:gridSpan w:val="3"/>
            <w:noWrap w:val="0"/>
            <w:vAlign w:val="center"/>
          </w:tcPr>
          <w:p>
            <w:pPr>
              <w:overflowPunct w:val="0"/>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0" w:type="dxa"/>
            <w:noWrap w:val="0"/>
            <w:vAlign w:val="center"/>
          </w:tcPr>
          <w:p>
            <w:pPr>
              <w:overflowPunct w:val="0"/>
              <w:spacing w:line="240" w:lineRule="exact"/>
              <w:jc w:val="center"/>
              <w:rPr>
                <w:sz w:val="21"/>
                <w:szCs w:val="21"/>
              </w:rPr>
            </w:pPr>
            <w:r>
              <w:rPr>
                <w:sz w:val="21"/>
                <w:szCs w:val="21"/>
              </w:rPr>
              <w:t>6</w:t>
            </w:r>
          </w:p>
        </w:tc>
        <w:tc>
          <w:tcPr>
            <w:tcW w:w="1665" w:type="dxa"/>
            <w:gridSpan w:val="4"/>
            <w:noWrap w:val="0"/>
            <w:vAlign w:val="center"/>
          </w:tcPr>
          <w:p>
            <w:pPr>
              <w:spacing w:line="240" w:lineRule="exact"/>
              <w:jc w:val="center"/>
              <w:rPr>
                <w:sz w:val="21"/>
                <w:szCs w:val="21"/>
              </w:rPr>
            </w:pPr>
            <w:r>
              <w:rPr>
                <w:rFonts w:hint="eastAsia"/>
                <w:sz w:val="21"/>
                <w:szCs w:val="21"/>
                <w:u w:val="single"/>
                <w:lang w:val="en-US" w:eastAsia="zh-CN"/>
              </w:rPr>
              <w:t xml:space="preserve">    </w:t>
            </w:r>
            <w:r>
              <w:rPr>
                <w:rFonts w:hint="eastAsia"/>
                <w:sz w:val="21"/>
                <w:szCs w:val="21"/>
                <w:u w:val="none"/>
                <w:lang w:val="en-US" w:eastAsia="zh-CN"/>
              </w:rPr>
              <w:t>月</w:t>
            </w:r>
            <w:r>
              <w:rPr>
                <w:rFonts w:hint="eastAsia"/>
                <w:sz w:val="21"/>
                <w:szCs w:val="21"/>
                <w:u w:val="single"/>
                <w:lang w:val="en-US" w:eastAsia="zh-CN"/>
              </w:rPr>
              <w:t xml:space="preserve">    </w:t>
            </w:r>
            <w:r>
              <w:rPr>
                <w:rFonts w:hint="eastAsia"/>
                <w:sz w:val="21"/>
                <w:szCs w:val="21"/>
                <w:u w:val="none"/>
                <w:lang w:val="en-US" w:eastAsia="zh-CN"/>
              </w:rPr>
              <w:t>日</w:t>
            </w:r>
          </w:p>
        </w:tc>
        <w:tc>
          <w:tcPr>
            <w:tcW w:w="1133" w:type="dxa"/>
            <w:gridSpan w:val="2"/>
            <w:noWrap w:val="0"/>
            <w:vAlign w:val="center"/>
          </w:tcPr>
          <w:p>
            <w:pPr>
              <w:overflowPunct w:val="0"/>
              <w:spacing w:line="240" w:lineRule="exact"/>
              <w:jc w:val="center"/>
              <w:rPr>
                <w:sz w:val="21"/>
                <w:szCs w:val="21"/>
              </w:rPr>
            </w:pPr>
          </w:p>
        </w:tc>
        <w:tc>
          <w:tcPr>
            <w:tcW w:w="1239" w:type="dxa"/>
            <w:noWrap w:val="0"/>
            <w:vAlign w:val="center"/>
          </w:tcPr>
          <w:p>
            <w:pPr>
              <w:overflowPunct w:val="0"/>
              <w:spacing w:line="240" w:lineRule="exact"/>
              <w:jc w:val="center"/>
              <w:rPr>
                <w:sz w:val="21"/>
                <w:szCs w:val="21"/>
              </w:rPr>
            </w:pPr>
          </w:p>
        </w:tc>
        <w:tc>
          <w:tcPr>
            <w:tcW w:w="1268" w:type="dxa"/>
            <w:gridSpan w:val="2"/>
            <w:noWrap w:val="0"/>
            <w:vAlign w:val="center"/>
          </w:tcPr>
          <w:p>
            <w:pPr>
              <w:overflowPunct w:val="0"/>
              <w:spacing w:line="240" w:lineRule="exact"/>
              <w:jc w:val="center"/>
              <w:rPr>
                <w:sz w:val="21"/>
                <w:szCs w:val="21"/>
              </w:rPr>
            </w:pPr>
          </w:p>
        </w:tc>
        <w:tc>
          <w:tcPr>
            <w:tcW w:w="1867" w:type="dxa"/>
            <w:gridSpan w:val="5"/>
            <w:noWrap w:val="0"/>
            <w:vAlign w:val="center"/>
          </w:tcPr>
          <w:p>
            <w:pPr>
              <w:overflowPunct w:val="0"/>
              <w:spacing w:line="240" w:lineRule="exact"/>
              <w:jc w:val="center"/>
              <w:rPr>
                <w:sz w:val="21"/>
                <w:szCs w:val="21"/>
              </w:rPr>
            </w:pPr>
          </w:p>
        </w:tc>
        <w:tc>
          <w:tcPr>
            <w:tcW w:w="2076" w:type="dxa"/>
            <w:gridSpan w:val="3"/>
            <w:noWrap w:val="0"/>
            <w:vAlign w:val="center"/>
          </w:tcPr>
          <w:p>
            <w:pPr>
              <w:overflowPunct w:val="0"/>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0" w:type="dxa"/>
            <w:noWrap w:val="0"/>
            <w:vAlign w:val="center"/>
          </w:tcPr>
          <w:p>
            <w:pPr>
              <w:overflowPunct w:val="0"/>
              <w:spacing w:line="240" w:lineRule="exact"/>
              <w:jc w:val="center"/>
              <w:rPr>
                <w:sz w:val="21"/>
                <w:szCs w:val="21"/>
              </w:rPr>
            </w:pPr>
            <w:r>
              <w:rPr>
                <w:sz w:val="21"/>
                <w:szCs w:val="21"/>
              </w:rPr>
              <w:t>7</w:t>
            </w:r>
          </w:p>
        </w:tc>
        <w:tc>
          <w:tcPr>
            <w:tcW w:w="1665" w:type="dxa"/>
            <w:gridSpan w:val="4"/>
            <w:noWrap w:val="0"/>
            <w:vAlign w:val="center"/>
          </w:tcPr>
          <w:p>
            <w:pPr>
              <w:spacing w:line="240" w:lineRule="exact"/>
              <w:jc w:val="center"/>
              <w:rPr>
                <w:sz w:val="21"/>
                <w:szCs w:val="21"/>
              </w:rPr>
            </w:pPr>
            <w:r>
              <w:rPr>
                <w:rFonts w:hint="eastAsia"/>
                <w:sz w:val="21"/>
                <w:szCs w:val="21"/>
                <w:u w:val="single"/>
                <w:lang w:val="en-US" w:eastAsia="zh-CN"/>
              </w:rPr>
              <w:t xml:space="preserve">    </w:t>
            </w:r>
            <w:r>
              <w:rPr>
                <w:rFonts w:hint="eastAsia"/>
                <w:sz w:val="21"/>
                <w:szCs w:val="21"/>
                <w:u w:val="none"/>
                <w:lang w:val="en-US" w:eastAsia="zh-CN"/>
              </w:rPr>
              <w:t>月</w:t>
            </w:r>
            <w:r>
              <w:rPr>
                <w:rFonts w:hint="eastAsia"/>
                <w:sz w:val="21"/>
                <w:szCs w:val="21"/>
                <w:u w:val="single"/>
                <w:lang w:val="en-US" w:eastAsia="zh-CN"/>
              </w:rPr>
              <w:t xml:space="preserve">    </w:t>
            </w:r>
            <w:r>
              <w:rPr>
                <w:rFonts w:hint="eastAsia"/>
                <w:sz w:val="21"/>
                <w:szCs w:val="21"/>
                <w:u w:val="none"/>
                <w:lang w:val="en-US" w:eastAsia="zh-CN"/>
              </w:rPr>
              <w:t>日</w:t>
            </w:r>
          </w:p>
        </w:tc>
        <w:tc>
          <w:tcPr>
            <w:tcW w:w="1133" w:type="dxa"/>
            <w:gridSpan w:val="2"/>
            <w:noWrap w:val="0"/>
            <w:vAlign w:val="center"/>
          </w:tcPr>
          <w:p>
            <w:pPr>
              <w:overflowPunct w:val="0"/>
              <w:spacing w:line="240" w:lineRule="exact"/>
              <w:jc w:val="center"/>
              <w:rPr>
                <w:sz w:val="21"/>
                <w:szCs w:val="21"/>
              </w:rPr>
            </w:pPr>
          </w:p>
        </w:tc>
        <w:tc>
          <w:tcPr>
            <w:tcW w:w="1239" w:type="dxa"/>
            <w:noWrap w:val="0"/>
            <w:vAlign w:val="center"/>
          </w:tcPr>
          <w:p>
            <w:pPr>
              <w:overflowPunct w:val="0"/>
              <w:spacing w:line="240" w:lineRule="exact"/>
              <w:jc w:val="center"/>
              <w:rPr>
                <w:sz w:val="21"/>
                <w:szCs w:val="21"/>
              </w:rPr>
            </w:pPr>
          </w:p>
        </w:tc>
        <w:tc>
          <w:tcPr>
            <w:tcW w:w="1268" w:type="dxa"/>
            <w:gridSpan w:val="2"/>
            <w:noWrap w:val="0"/>
            <w:vAlign w:val="center"/>
          </w:tcPr>
          <w:p>
            <w:pPr>
              <w:overflowPunct w:val="0"/>
              <w:spacing w:line="240" w:lineRule="exact"/>
              <w:jc w:val="center"/>
              <w:rPr>
                <w:sz w:val="21"/>
                <w:szCs w:val="21"/>
              </w:rPr>
            </w:pPr>
          </w:p>
        </w:tc>
        <w:tc>
          <w:tcPr>
            <w:tcW w:w="1867" w:type="dxa"/>
            <w:gridSpan w:val="5"/>
            <w:noWrap w:val="0"/>
            <w:vAlign w:val="center"/>
          </w:tcPr>
          <w:p>
            <w:pPr>
              <w:overflowPunct w:val="0"/>
              <w:spacing w:line="240" w:lineRule="exact"/>
              <w:jc w:val="center"/>
              <w:rPr>
                <w:sz w:val="21"/>
                <w:szCs w:val="21"/>
              </w:rPr>
            </w:pPr>
          </w:p>
        </w:tc>
        <w:tc>
          <w:tcPr>
            <w:tcW w:w="2076" w:type="dxa"/>
            <w:gridSpan w:val="3"/>
            <w:noWrap w:val="0"/>
            <w:vAlign w:val="center"/>
          </w:tcPr>
          <w:p>
            <w:pPr>
              <w:overflowPunct w:val="0"/>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0" w:type="dxa"/>
            <w:noWrap w:val="0"/>
            <w:vAlign w:val="center"/>
          </w:tcPr>
          <w:p>
            <w:pPr>
              <w:overflowPunct w:val="0"/>
              <w:spacing w:line="240" w:lineRule="exact"/>
              <w:jc w:val="center"/>
              <w:rPr>
                <w:rFonts w:hint="eastAsia" w:eastAsia="仿宋_GB2312"/>
                <w:sz w:val="21"/>
                <w:szCs w:val="21"/>
                <w:lang w:val="en-US" w:eastAsia="zh-CN"/>
              </w:rPr>
            </w:pPr>
            <w:r>
              <w:rPr>
                <w:rFonts w:hint="default"/>
                <w:sz w:val="21"/>
                <w:szCs w:val="21"/>
                <w:lang w:val="en" w:eastAsia="zh-CN"/>
              </w:rPr>
              <w:t>考试当天</w:t>
            </w:r>
          </w:p>
        </w:tc>
        <w:tc>
          <w:tcPr>
            <w:tcW w:w="1665" w:type="dxa"/>
            <w:gridSpan w:val="4"/>
            <w:noWrap w:val="0"/>
            <w:vAlign w:val="center"/>
          </w:tcPr>
          <w:p>
            <w:pPr>
              <w:spacing w:line="240" w:lineRule="exact"/>
              <w:jc w:val="center"/>
              <w:rPr>
                <w:rFonts w:hint="eastAsia"/>
                <w:sz w:val="21"/>
                <w:szCs w:val="21"/>
                <w:u w:val="single"/>
                <w:lang w:val="en-US" w:eastAsia="zh-CN"/>
              </w:rPr>
            </w:pPr>
            <w:r>
              <w:rPr>
                <w:rFonts w:hint="eastAsia"/>
                <w:sz w:val="21"/>
                <w:szCs w:val="21"/>
                <w:u w:val="single"/>
                <w:lang w:val="en-US" w:eastAsia="zh-CN"/>
              </w:rPr>
              <w:t xml:space="preserve">    </w:t>
            </w:r>
            <w:r>
              <w:rPr>
                <w:rFonts w:hint="eastAsia"/>
                <w:sz w:val="21"/>
                <w:szCs w:val="21"/>
                <w:u w:val="none"/>
                <w:lang w:val="en-US" w:eastAsia="zh-CN"/>
              </w:rPr>
              <w:t>月</w:t>
            </w:r>
            <w:r>
              <w:rPr>
                <w:rFonts w:hint="eastAsia"/>
                <w:sz w:val="21"/>
                <w:szCs w:val="21"/>
                <w:u w:val="single"/>
                <w:lang w:val="en-US" w:eastAsia="zh-CN"/>
              </w:rPr>
              <w:t xml:space="preserve">    </w:t>
            </w:r>
            <w:r>
              <w:rPr>
                <w:rFonts w:hint="eastAsia"/>
                <w:sz w:val="21"/>
                <w:szCs w:val="21"/>
                <w:u w:val="none"/>
                <w:lang w:val="en-US" w:eastAsia="zh-CN"/>
              </w:rPr>
              <w:t>日</w:t>
            </w:r>
          </w:p>
        </w:tc>
        <w:tc>
          <w:tcPr>
            <w:tcW w:w="1133" w:type="dxa"/>
            <w:gridSpan w:val="2"/>
            <w:noWrap w:val="0"/>
            <w:vAlign w:val="center"/>
          </w:tcPr>
          <w:p>
            <w:pPr>
              <w:overflowPunct w:val="0"/>
              <w:spacing w:line="240" w:lineRule="exact"/>
              <w:jc w:val="center"/>
              <w:rPr>
                <w:sz w:val="21"/>
                <w:szCs w:val="21"/>
              </w:rPr>
            </w:pPr>
          </w:p>
        </w:tc>
        <w:tc>
          <w:tcPr>
            <w:tcW w:w="1239" w:type="dxa"/>
            <w:noWrap w:val="0"/>
            <w:vAlign w:val="center"/>
          </w:tcPr>
          <w:p>
            <w:pPr>
              <w:overflowPunct w:val="0"/>
              <w:spacing w:line="240" w:lineRule="exact"/>
              <w:jc w:val="center"/>
              <w:rPr>
                <w:sz w:val="21"/>
                <w:szCs w:val="21"/>
              </w:rPr>
            </w:pPr>
          </w:p>
        </w:tc>
        <w:tc>
          <w:tcPr>
            <w:tcW w:w="1268" w:type="dxa"/>
            <w:gridSpan w:val="2"/>
            <w:noWrap w:val="0"/>
            <w:vAlign w:val="center"/>
          </w:tcPr>
          <w:p>
            <w:pPr>
              <w:overflowPunct w:val="0"/>
              <w:spacing w:line="240" w:lineRule="exact"/>
              <w:jc w:val="center"/>
              <w:rPr>
                <w:sz w:val="21"/>
                <w:szCs w:val="21"/>
              </w:rPr>
            </w:pPr>
          </w:p>
        </w:tc>
        <w:tc>
          <w:tcPr>
            <w:tcW w:w="1867" w:type="dxa"/>
            <w:gridSpan w:val="5"/>
            <w:noWrap w:val="0"/>
            <w:vAlign w:val="center"/>
          </w:tcPr>
          <w:p>
            <w:pPr>
              <w:overflowPunct w:val="0"/>
              <w:spacing w:line="240" w:lineRule="exact"/>
              <w:jc w:val="center"/>
              <w:rPr>
                <w:sz w:val="21"/>
                <w:szCs w:val="21"/>
              </w:rPr>
            </w:pPr>
          </w:p>
        </w:tc>
        <w:tc>
          <w:tcPr>
            <w:tcW w:w="2076" w:type="dxa"/>
            <w:gridSpan w:val="3"/>
            <w:noWrap w:val="0"/>
            <w:vAlign w:val="center"/>
          </w:tcPr>
          <w:p>
            <w:pPr>
              <w:overflowPunct w:val="0"/>
              <w:spacing w:line="240" w:lineRule="exact"/>
              <w:jc w:val="center"/>
              <w:rPr>
                <w:sz w:val="21"/>
                <w:szCs w:val="21"/>
              </w:rPr>
            </w:pPr>
          </w:p>
        </w:tc>
      </w:tr>
    </w:tbl>
    <w:p>
      <w:pPr>
        <w:snapToGrid w:val="0"/>
        <w:jc w:val="center"/>
        <w:outlineLvl w:val="0"/>
        <w:rPr>
          <w:rFonts w:hint="eastAsia" w:ascii="黑体" w:hAnsi="黑体" w:eastAsia="黑体" w:cs="黑体"/>
          <w:sz w:val="24"/>
          <w:szCs w:val="24"/>
        </w:rPr>
      </w:pPr>
      <w:r>
        <w:rPr>
          <w:rFonts w:hint="eastAsia" w:ascii="楷体_GB2312" w:eastAsia="楷体_GB2312"/>
          <w:b/>
          <w:sz w:val="21"/>
          <w:szCs w:val="21"/>
        </w:rPr>
        <w:t>（请</w:t>
      </w:r>
      <w:r>
        <w:rPr>
          <w:rFonts w:hint="eastAsia" w:ascii="楷体_GB2312" w:eastAsia="楷体_GB2312"/>
          <w:b/>
          <w:sz w:val="21"/>
          <w:szCs w:val="21"/>
          <w:lang w:eastAsia="zh-CN"/>
        </w:rPr>
        <w:t>考生进入考点查验后，交考场</w:t>
      </w:r>
      <w:r>
        <w:rPr>
          <w:rFonts w:hint="default" w:ascii="楷体_GB2312" w:eastAsia="楷体_GB2312"/>
          <w:b/>
          <w:sz w:val="21"/>
          <w:szCs w:val="21"/>
          <w:lang w:val="en" w:eastAsia="zh-CN"/>
        </w:rPr>
        <w:t>监考</w:t>
      </w:r>
      <w:r>
        <w:rPr>
          <w:rFonts w:hint="eastAsia" w:ascii="楷体_GB2312" w:eastAsia="楷体_GB2312"/>
          <w:b/>
          <w:sz w:val="21"/>
          <w:szCs w:val="21"/>
          <w:lang w:eastAsia="zh-CN"/>
        </w:rPr>
        <w:t>人员</w:t>
      </w:r>
      <w:r>
        <w:rPr>
          <w:rFonts w:hint="eastAsia" w:ascii="楷体_GB2312" w:eastAsia="楷体_GB2312"/>
          <w:b/>
          <w:sz w:val="21"/>
          <w:szCs w:val="21"/>
        </w:rPr>
        <w:t>）</w:t>
      </w:r>
    </w:p>
    <w:p>
      <w:pPr>
        <w:spacing w:line="300" w:lineRule="exact"/>
        <w:rPr>
          <w:rFonts w:hint="eastAsia" w:ascii="黑体" w:hAnsi="黑体" w:eastAsia="黑体" w:cs="黑体"/>
          <w:sz w:val="24"/>
          <w:szCs w:val="24"/>
        </w:rPr>
      </w:pPr>
      <w:r>
        <w:rPr>
          <w:rFonts w:hint="eastAsia" w:ascii="黑体" w:hAnsi="黑体" w:eastAsia="黑体" w:cs="黑体"/>
          <w:sz w:val="24"/>
          <w:szCs w:val="24"/>
        </w:rPr>
        <w:t>本人承诺：以上个人填报的信息属实，如有虚报、瞒报，愿承担一切责任及后果。</w:t>
      </w:r>
    </w:p>
    <w:p>
      <w:pPr>
        <w:rPr>
          <w:rFonts w:hint="eastAsia" w:ascii="黑体" w:hAnsi="黑体" w:eastAsia="黑体" w:cs="黑体"/>
          <w:sz w:val="21"/>
          <w:szCs w:val="21"/>
        </w:rPr>
      </w:pPr>
      <w:r>
        <w:rPr>
          <w:rFonts w:hint="eastAsia" w:ascii="黑体" w:hAnsi="黑体" w:eastAsia="黑体" w:cs="黑体"/>
          <w:sz w:val="24"/>
          <w:szCs w:val="24"/>
        </w:rPr>
        <w:t xml:space="preserve">本人签字：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lang w:val="en-US" w:eastAsia="zh-CN"/>
        </w:rPr>
        <w:t>年</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lang w:val="en-US" w:eastAsia="zh-CN"/>
        </w:rPr>
        <w:t>月</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lang w:val="en-US" w:eastAsia="zh-CN"/>
        </w:rPr>
        <w:t>日</w:t>
      </w:r>
      <w:r>
        <w:rPr>
          <w:rFonts w:hint="eastAsia" w:ascii="黑体" w:hAnsi="黑体" w:eastAsia="黑体" w:cs="黑体"/>
          <w:sz w:val="24"/>
          <w:szCs w:val="24"/>
        </w:rPr>
        <w:t xml:space="preserve"> </w:t>
      </w:r>
      <w:r>
        <w:rPr>
          <w:rFonts w:hint="eastAsia" w:ascii="黑体" w:hAnsi="黑体" w:eastAsia="黑体" w:cs="黑体"/>
          <w:sz w:val="21"/>
          <w:szCs w:val="21"/>
        </w:rPr>
        <w:t xml:space="preserve">   </w:t>
      </w:r>
    </w:p>
    <w:p>
      <w:pPr>
        <w:pStyle w:val="2"/>
        <w:ind w:left="0" w:leftChars="0" w:firstLine="0" w:firstLineChars="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附件3：</w:t>
      </w:r>
    </w:p>
    <w:p>
      <w:pPr>
        <w:snapToGrid w:val="0"/>
        <w:spacing w:line="540" w:lineRule="exact"/>
        <w:jc w:val="center"/>
        <w:outlineLvl w:val="0"/>
        <w:rPr>
          <w:rFonts w:hint="eastAsia" w:ascii="黑体" w:hAnsi="黑体" w:eastAsia="黑体" w:cs="黑体"/>
          <w:sz w:val="44"/>
          <w:szCs w:val="44"/>
          <w:lang w:val="en-US" w:eastAsia="zh-CN"/>
        </w:rPr>
      </w:pPr>
    </w:p>
    <w:p>
      <w:pPr>
        <w:snapToGrid w:val="0"/>
        <w:spacing w:line="540" w:lineRule="exact"/>
        <w:jc w:val="center"/>
        <w:outlineLvl w:val="0"/>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中共漯河市委党校平面图</w:t>
      </w:r>
    </w:p>
    <w:p>
      <w:pPr>
        <w:pStyle w:val="2"/>
        <w:rPr>
          <w:rFonts w:hint="eastAsia" w:ascii="黑体" w:hAnsi="黑体" w:eastAsia="黑体" w:cs="黑体"/>
          <w:sz w:val="44"/>
          <w:szCs w:val="44"/>
          <w:lang w:val="en-US" w:eastAsia="zh-CN"/>
        </w:rPr>
      </w:pPr>
    </w:p>
    <w:p>
      <w:pPr>
        <w:rPr>
          <w:rFonts w:hint="default"/>
          <w:lang w:val="en-US" w:eastAsia="zh-CN"/>
        </w:rPr>
      </w:pPr>
      <w:r>
        <w:rPr>
          <w:rFonts w:hint="default"/>
          <w:lang w:val="en-US" w:eastAsia="zh-CN"/>
        </w:rPr>
        <w:drawing>
          <wp:inline distT="0" distB="0" distL="114300" distR="114300">
            <wp:extent cx="5273675" cy="6451600"/>
            <wp:effectExtent l="0" t="0" r="3175" b="6350"/>
            <wp:docPr id="1" name="图片 1" descr="7ad5969c67fd2453c6eb5fe3a58ff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d5969c67fd2453c6eb5fe3a58fff5"/>
                    <pic:cNvPicPr>
                      <a:picLocks noChangeAspect="1"/>
                    </pic:cNvPicPr>
                  </pic:nvPicPr>
                  <pic:blipFill>
                    <a:blip r:embed="rId4"/>
                    <a:stretch>
                      <a:fillRect/>
                    </a:stretch>
                  </pic:blipFill>
                  <pic:spPr>
                    <a:xfrm>
                      <a:off x="0" y="0"/>
                      <a:ext cx="5273675" cy="64516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ESI仿宋-GB2312">
    <w:altName w:val="仿宋_GB2312"/>
    <w:panose1 w:val="02000500000000000000"/>
    <w:charset w:val="86"/>
    <w:family w:val="auto"/>
    <w:pitch w:val="default"/>
    <w:sig w:usb0="00000000" w:usb1="00000000" w:usb2="00000010"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D768F"/>
    <w:rsid w:val="02880E7F"/>
    <w:rsid w:val="028A729E"/>
    <w:rsid w:val="051C3FE6"/>
    <w:rsid w:val="058A4148"/>
    <w:rsid w:val="06E5545C"/>
    <w:rsid w:val="0F441D8E"/>
    <w:rsid w:val="12CE40D4"/>
    <w:rsid w:val="13F700D7"/>
    <w:rsid w:val="143808C0"/>
    <w:rsid w:val="156B70D6"/>
    <w:rsid w:val="164B53C0"/>
    <w:rsid w:val="17171EEA"/>
    <w:rsid w:val="18AA3834"/>
    <w:rsid w:val="196E0A26"/>
    <w:rsid w:val="1B4E6E1D"/>
    <w:rsid w:val="1FAA69B7"/>
    <w:rsid w:val="23592B4F"/>
    <w:rsid w:val="23F63005"/>
    <w:rsid w:val="264F34C8"/>
    <w:rsid w:val="29095A3A"/>
    <w:rsid w:val="2A581A43"/>
    <w:rsid w:val="2B4732D7"/>
    <w:rsid w:val="2E83125B"/>
    <w:rsid w:val="34A31A72"/>
    <w:rsid w:val="366E1C2F"/>
    <w:rsid w:val="3920266D"/>
    <w:rsid w:val="3AC9118F"/>
    <w:rsid w:val="3C921D1D"/>
    <w:rsid w:val="400E7F20"/>
    <w:rsid w:val="411D4BA9"/>
    <w:rsid w:val="42D37996"/>
    <w:rsid w:val="48A54439"/>
    <w:rsid w:val="48E665D8"/>
    <w:rsid w:val="4C615F11"/>
    <w:rsid w:val="503E3591"/>
    <w:rsid w:val="548F2D45"/>
    <w:rsid w:val="55C818C8"/>
    <w:rsid w:val="562D4BAB"/>
    <w:rsid w:val="56DF2EE8"/>
    <w:rsid w:val="590A455C"/>
    <w:rsid w:val="5AD831F0"/>
    <w:rsid w:val="5ADF1E8C"/>
    <w:rsid w:val="5B7D768F"/>
    <w:rsid w:val="5E7858A2"/>
    <w:rsid w:val="5F020FFD"/>
    <w:rsid w:val="63467886"/>
    <w:rsid w:val="642652EE"/>
    <w:rsid w:val="64D55D36"/>
    <w:rsid w:val="64FB6569"/>
    <w:rsid w:val="692832E4"/>
    <w:rsid w:val="6BD93D60"/>
    <w:rsid w:val="6C601229"/>
    <w:rsid w:val="6CDF0D2A"/>
    <w:rsid w:val="6D244508"/>
    <w:rsid w:val="6DA33B1D"/>
    <w:rsid w:val="6DE04EF7"/>
    <w:rsid w:val="6E0D2263"/>
    <w:rsid w:val="6ECD0780"/>
    <w:rsid w:val="6FF266D1"/>
    <w:rsid w:val="713709C2"/>
    <w:rsid w:val="73D51E40"/>
    <w:rsid w:val="74257B16"/>
    <w:rsid w:val="74C55F6C"/>
    <w:rsid w:val="76772DA6"/>
    <w:rsid w:val="7B880AA3"/>
    <w:rsid w:val="7D47345E"/>
    <w:rsid w:val="7F371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0"/>
    <w:pPr>
      <w:ind w:firstLine="640" w:firstLineChars="200"/>
    </w:pPr>
    <w:rPr>
      <w:rFonts w:ascii="Arial" w:hAnsi="Arial" w:eastAsia="仿宋_GB2312"/>
      <w:sz w:val="32"/>
    </w:rPr>
  </w:style>
  <w:style w:type="paragraph" w:styleId="3">
    <w:name w:val="Body Text Indent"/>
    <w:basedOn w:val="1"/>
    <w:qFormat/>
    <w:uiPriority w:val="0"/>
    <w:pPr>
      <w:spacing w:after="120"/>
      <w:ind w:left="420" w:leftChars="200"/>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2022-09-26T09:50:00Z</dcterms:created>
  <dc:creator>Administrator</dc:creator>
  <cp:lastModifiedBy>Administrator</cp:lastModifiedBy>
  <dcterms:modified xsi:type="dcterms:W3CDTF">2022-09-27T01:58:28Z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AE8145D36E4B4C40AD21B378F9E00B3F</vt:lpwstr>
  </property>
</Properties>
</file>